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4B1B" w:rsidRPr="00573206" w:rsidRDefault="00C64B1B" w:rsidP="00C64B1B">
      <w:pPr>
        <w:jc w:val="center"/>
      </w:pPr>
    </w:p>
    <w:tbl>
      <w:tblPr>
        <w:tblW w:w="15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1134"/>
        <w:gridCol w:w="1843"/>
        <w:gridCol w:w="4678"/>
        <w:gridCol w:w="5812"/>
        <w:gridCol w:w="1359"/>
      </w:tblGrid>
      <w:tr w:rsidR="00A06425" w:rsidRPr="00573206" w:rsidTr="00A06425">
        <w:tc>
          <w:tcPr>
            <w:tcW w:w="15388" w:type="dxa"/>
            <w:gridSpan w:val="6"/>
            <w:shd w:val="clear" w:color="auto" w:fill="auto"/>
            <w:vAlign w:val="center"/>
          </w:tcPr>
          <w:p w:rsidR="00A06425" w:rsidRPr="00573206" w:rsidRDefault="00A06425" w:rsidP="00B871B6">
            <w:pPr>
              <w:spacing w:before="120" w:after="120"/>
              <w:rPr>
                <w:b/>
                <w:i/>
              </w:rPr>
            </w:pPr>
            <w:r w:rsidRPr="00573206">
              <w:rPr>
                <w:b/>
                <w:i/>
              </w:rPr>
              <w:t>Nazwa dokumentu:</w:t>
            </w:r>
            <w:r w:rsidR="00012F03" w:rsidRPr="00573206">
              <w:rPr>
                <w:b/>
                <w:i/>
              </w:rPr>
              <w:t xml:space="preserve"> projekt uchwały Rady Ministrów w sprawie przyjęcia projektu Umowy Partnerstwa dla realizacji Polityki Spójności 2021-2027 w Polsce</w:t>
            </w:r>
          </w:p>
          <w:p w:rsidR="00A06425" w:rsidRPr="00573206" w:rsidRDefault="00A06425" w:rsidP="00B871B6">
            <w:pPr>
              <w:spacing w:before="120" w:after="120"/>
              <w:rPr>
                <w:b/>
                <w:i/>
              </w:rPr>
            </w:pPr>
          </w:p>
        </w:tc>
      </w:tr>
      <w:tr w:rsidR="00A06425" w:rsidRPr="00573206" w:rsidTr="00A06425">
        <w:tc>
          <w:tcPr>
            <w:tcW w:w="562" w:type="dxa"/>
            <w:shd w:val="clear" w:color="auto" w:fill="auto"/>
            <w:vAlign w:val="center"/>
          </w:tcPr>
          <w:p w:rsidR="00A06425" w:rsidRPr="00573206" w:rsidRDefault="00A06425" w:rsidP="004D086F">
            <w:pPr>
              <w:jc w:val="center"/>
              <w:rPr>
                <w:b/>
              </w:rPr>
            </w:pPr>
            <w:r w:rsidRPr="00573206">
              <w:rPr>
                <w:b/>
              </w:rPr>
              <w:t>Lp.</w:t>
            </w:r>
          </w:p>
        </w:tc>
        <w:tc>
          <w:tcPr>
            <w:tcW w:w="1134" w:type="dxa"/>
            <w:shd w:val="clear" w:color="auto" w:fill="auto"/>
            <w:vAlign w:val="center"/>
          </w:tcPr>
          <w:p w:rsidR="00A06425" w:rsidRPr="00573206" w:rsidRDefault="00A06425" w:rsidP="004D086F">
            <w:pPr>
              <w:jc w:val="center"/>
              <w:rPr>
                <w:b/>
              </w:rPr>
            </w:pPr>
            <w:r w:rsidRPr="00573206">
              <w:rPr>
                <w:b/>
              </w:rPr>
              <w:t>Organ wnoszący uwagi</w:t>
            </w:r>
          </w:p>
        </w:tc>
        <w:tc>
          <w:tcPr>
            <w:tcW w:w="1843" w:type="dxa"/>
            <w:shd w:val="clear" w:color="auto" w:fill="auto"/>
            <w:vAlign w:val="center"/>
          </w:tcPr>
          <w:p w:rsidR="00A06425" w:rsidRPr="00573206" w:rsidRDefault="00A06425" w:rsidP="004D086F">
            <w:pPr>
              <w:jc w:val="center"/>
              <w:rPr>
                <w:b/>
              </w:rPr>
            </w:pPr>
            <w:r w:rsidRPr="00573206">
              <w:rPr>
                <w:b/>
              </w:rPr>
              <w:t>Jednostka redakcyjna, do której wnoszone są uwagi</w:t>
            </w:r>
          </w:p>
        </w:tc>
        <w:tc>
          <w:tcPr>
            <w:tcW w:w="4678" w:type="dxa"/>
            <w:shd w:val="clear" w:color="auto" w:fill="auto"/>
            <w:vAlign w:val="center"/>
          </w:tcPr>
          <w:p w:rsidR="00A06425" w:rsidRPr="00573206" w:rsidRDefault="00A06425" w:rsidP="004D086F">
            <w:pPr>
              <w:jc w:val="center"/>
              <w:rPr>
                <w:b/>
              </w:rPr>
            </w:pPr>
            <w:r w:rsidRPr="00573206">
              <w:rPr>
                <w:b/>
              </w:rPr>
              <w:t>Treść uwagi</w:t>
            </w:r>
          </w:p>
        </w:tc>
        <w:tc>
          <w:tcPr>
            <w:tcW w:w="5812" w:type="dxa"/>
            <w:shd w:val="clear" w:color="auto" w:fill="auto"/>
            <w:vAlign w:val="center"/>
          </w:tcPr>
          <w:p w:rsidR="00A06425" w:rsidRPr="00573206" w:rsidRDefault="00A06425" w:rsidP="004D086F">
            <w:pPr>
              <w:jc w:val="center"/>
              <w:rPr>
                <w:b/>
              </w:rPr>
            </w:pPr>
            <w:r w:rsidRPr="00573206">
              <w:rPr>
                <w:b/>
              </w:rPr>
              <w:t>Propozycja zmian zapisu</w:t>
            </w:r>
          </w:p>
        </w:tc>
        <w:tc>
          <w:tcPr>
            <w:tcW w:w="1359" w:type="dxa"/>
            <w:vAlign w:val="center"/>
          </w:tcPr>
          <w:p w:rsidR="00A06425" w:rsidRPr="00573206" w:rsidRDefault="00A06425" w:rsidP="00A06425">
            <w:pPr>
              <w:jc w:val="center"/>
              <w:rPr>
                <w:b/>
              </w:rPr>
            </w:pPr>
            <w:r w:rsidRPr="00573206">
              <w:rPr>
                <w:b/>
              </w:rPr>
              <w:t>Odniesienie do uwagi</w:t>
            </w:r>
          </w:p>
        </w:tc>
      </w:tr>
      <w:tr w:rsidR="00A06425" w:rsidRPr="00573206" w:rsidTr="00A06425">
        <w:tc>
          <w:tcPr>
            <w:tcW w:w="562" w:type="dxa"/>
            <w:shd w:val="clear" w:color="auto" w:fill="auto"/>
          </w:tcPr>
          <w:p w:rsidR="00A06425" w:rsidRPr="00573206" w:rsidRDefault="00A06425" w:rsidP="00A06425">
            <w:pPr>
              <w:spacing w:before="120" w:after="120"/>
              <w:jc w:val="center"/>
              <w:rPr>
                <w:b/>
              </w:rPr>
            </w:pPr>
            <w:r w:rsidRPr="00573206">
              <w:rPr>
                <w:b/>
              </w:rPr>
              <w:t>1</w:t>
            </w:r>
          </w:p>
        </w:tc>
        <w:tc>
          <w:tcPr>
            <w:tcW w:w="1134" w:type="dxa"/>
            <w:shd w:val="clear" w:color="auto" w:fill="auto"/>
          </w:tcPr>
          <w:p w:rsidR="00A06425" w:rsidRPr="00573206" w:rsidRDefault="00573206" w:rsidP="004D086F">
            <w:pPr>
              <w:spacing w:before="60" w:after="60"/>
              <w:jc w:val="center"/>
              <w:rPr>
                <w:b/>
              </w:rPr>
            </w:pPr>
            <w:r>
              <w:rPr>
                <w:b/>
              </w:rPr>
              <w:t>MEiN</w:t>
            </w:r>
          </w:p>
        </w:tc>
        <w:tc>
          <w:tcPr>
            <w:tcW w:w="1843" w:type="dxa"/>
            <w:shd w:val="clear" w:color="auto" w:fill="auto"/>
          </w:tcPr>
          <w:p w:rsidR="00A06425" w:rsidRPr="00573206" w:rsidRDefault="00BC7B46" w:rsidP="00BC7B46">
            <w:pPr>
              <w:jc w:val="center"/>
            </w:pPr>
            <w:r w:rsidRPr="00573206">
              <w:t>Wybór celów polityki i celu szczegółowego FST (str. 8)</w:t>
            </w:r>
          </w:p>
        </w:tc>
        <w:tc>
          <w:tcPr>
            <w:tcW w:w="4678" w:type="dxa"/>
            <w:shd w:val="clear" w:color="auto" w:fill="auto"/>
          </w:tcPr>
          <w:p w:rsidR="00A06425" w:rsidRPr="00573206" w:rsidRDefault="00BC7B46" w:rsidP="00CE200B">
            <w:pPr>
              <w:jc w:val="center"/>
            </w:pPr>
            <w:r w:rsidRPr="00573206">
              <w:t xml:space="preserve">Wśród wymagań dla wygenerowania wysokiej jakości należy wymienić również przynajmniej podstawowe kompetencje cyfrowe. </w:t>
            </w:r>
            <w:r w:rsidR="00CE200B" w:rsidRPr="00573206">
              <w:t>Trudno obecnie mówić o wysokiej jakości miejscach pracy, które nie wymagają szeroko pojętej interakcji z nowymi technologiami</w:t>
            </w:r>
            <w:r w:rsidRPr="00573206">
              <w:t>.</w:t>
            </w:r>
          </w:p>
        </w:tc>
        <w:tc>
          <w:tcPr>
            <w:tcW w:w="5812" w:type="dxa"/>
            <w:shd w:val="clear" w:color="auto" w:fill="auto"/>
          </w:tcPr>
          <w:p w:rsidR="0030062C" w:rsidRPr="00573206" w:rsidRDefault="00BC7B46" w:rsidP="004D086F">
            <w:pPr>
              <w:jc w:val="center"/>
            </w:pPr>
            <w:r w:rsidRPr="00573206">
              <w:t xml:space="preserve">Proponujemy uzupełnić zdanie: </w:t>
            </w:r>
          </w:p>
          <w:p w:rsidR="00A06425" w:rsidRPr="00573206" w:rsidRDefault="00BC7B46" w:rsidP="004D086F">
            <w:pPr>
              <w:jc w:val="center"/>
            </w:pPr>
            <w:r w:rsidRPr="00573206">
              <w:rPr>
                <w:i/>
              </w:rPr>
              <w:t>Z jednej strony wymaga to rozwijania kwalifikacji uniwersalnych</w:t>
            </w:r>
            <w:r w:rsidRPr="00573206">
              <w:rPr>
                <w:i/>
                <w:color w:val="FF0000"/>
              </w:rPr>
              <w:t>, kompetencji cyfrowych</w:t>
            </w:r>
            <w:r w:rsidRPr="00573206">
              <w:rPr>
                <w:i/>
              </w:rPr>
              <w:t xml:space="preserve"> oraz zdolności do ciągłego uczenia się, z drugiej zaś prowadzić będzie do dynamicznego wzrostu produktywności.</w:t>
            </w:r>
          </w:p>
        </w:tc>
        <w:tc>
          <w:tcPr>
            <w:tcW w:w="1359" w:type="dxa"/>
          </w:tcPr>
          <w:p w:rsidR="00A06425" w:rsidRPr="00573206" w:rsidRDefault="00A06425" w:rsidP="004D086F">
            <w:pPr>
              <w:jc w:val="center"/>
            </w:pPr>
          </w:p>
        </w:tc>
      </w:tr>
      <w:tr w:rsidR="00A06425" w:rsidRPr="00573206" w:rsidTr="00A06425">
        <w:tc>
          <w:tcPr>
            <w:tcW w:w="562" w:type="dxa"/>
            <w:shd w:val="clear" w:color="auto" w:fill="auto"/>
          </w:tcPr>
          <w:p w:rsidR="00A06425" w:rsidRPr="00573206" w:rsidRDefault="00A06425" w:rsidP="00A06425">
            <w:pPr>
              <w:spacing w:before="120" w:after="120"/>
              <w:jc w:val="center"/>
              <w:rPr>
                <w:b/>
              </w:rPr>
            </w:pPr>
            <w:r w:rsidRPr="00573206">
              <w:rPr>
                <w:b/>
              </w:rPr>
              <w:t>2</w:t>
            </w:r>
          </w:p>
        </w:tc>
        <w:tc>
          <w:tcPr>
            <w:tcW w:w="1134" w:type="dxa"/>
            <w:shd w:val="clear" w:color="auto" w:fill="auto"/>
          </w:tcPr>
          <w:p w:rsidR="00A06425" w:rsidRPr="00573206" w:rsidRDefault="00573206" w:rsidP="004D086F">
            <w:pPr>
              <w:spacing w:before="60" w:after="60"/>
              <w:jc w:val="center"/>
              <w:rPr>
                <w:b/>
              </w:rPr>
            </w:pPr>
            <w:r>
              <w:rPr>
                <w:b/>
              </w:rPr>
              <w:t>MEiN</w:t>
            </w:r>
          </w:p>
        </w:tc>
        <w:tc>
          <w:tcPr>
            <w:tcW w:w="1843" w:type="dxa"/>
            <w:shd w:val="clear" w:color="auto" w:fill="auto"/>
          </w:tcPr>
          <w:p w:rsidR="00A06425" w:rsidRPr="00573206" w:rsidRDefault="00D23A21" w:rsidP="00D23A21">
            <w:pPr>
              <w:jc w:val="center"/>
            </w:pPr>
            <w:r w:rsidRPr="00573206">
              <w:t>Wybór celów polityki i celu szczegółowego FST (str. 9)</w:t>
            </w:r>
          </w:p>
        </w:tc>
        <w:tc>
          <w:tcPr>
            <w:tcW w:w="4678" w:type="dxa"/>
            <w:shd w:val="clear" w:color="auto" w:fill="auto"/>
          </w:tcPr>
          <w:p w:rsidR="00A06425" w:rsidRPr="00573206" w:rsidRDefault="00D23A21" w:rsidP="00D23A21">
            <w:pPr>
              <w:jc w:val="center"/>
            </w:pPr>
            <w:r w:rsidRPr="00573206">
              <w:rPr>
                <w:i/>
              </w:rPr>
              <w:t>Programując interwencje polityki rozwoju na kolejne lata należy doinwestować obszary słabsze gospodarczo – obszary zagrożone trwałą marginalizacją oraz miasta średnie tracące funkcje społeczno-gospodarcze.</w:t>
            </w:r>
            <w:r w:rsidRPr="00573206">
              <w:t xml:space="preserve"> - Prośba o wskazanie konkretnych obszarów słabszych gospodarczo, o których mowa.</w:t>
            </w:r>
          </w:p>
        </w:tc>
        <w:tc>
          <w:tcPr>
            <w:tcW w:w="5812" w:type="dxa"/>
            <w:shd w:val="clear" w:color="auto" w:fill="auto"/>
          </w:tcPr>
          <w:p w:rsidR="00A06425" w:rsidRPr="00573206" w:rsidRDefault="00A06425" w:rsidP="004D086F">
            <w:pPr>
              <w:jc w:val="center"/>
            </w:pPr>
          </w:p>
        </w:tc>
        <w:tc>
          <w:tcPr>
            <w:tcW w:w="1359" w:type="dxa"/>
          </w:tcPr>
          <w:p w:rsidR="00A06425" w:rsidRPr="00573206" w:rsidRDefault="00A06425" w:rsidP="004D086F">
            <w:pPr>
              <w:jc w:val="center"/>
            </w:pPr>
          </w:p>
        </w:tc>
      </w:tr>
      <w:tr w:rsidR="00A06425" w:rsidRPr="00573206" w:rsidTr="00A06425">
        <w:tc>
          <w:tcPr>
            <w:tcW w:w="562" w:type="dxa"/>
            <w:shd w:val="clear" w:color="auto" w:fill="auto"/>
          </w:tcPr>
          <w:p w:rsidR="00A06425" w:rsidRPr="00573206" w:rsidRDefault="00A06425" w:rsidP="00A06425">
            <w:pPr>
              <w:spacing w:before="120" w:after="120"/>
              <w:jc w:val="center"/>
              <w:rPr>
                <w:b/>
              </w:rPr>
            </w:pPr>
            <w:r w:rsidRPr="00573206">
              <w:rPr>
                <w:b/>
              </w:rPr>
              <w:t>3</w:t>
            </w:r>
          </w:p>
        </w:tc>
        <w:tc>
          <w:tcPr>
            <w:tcW w:w="1134" w:type="dxa"/>
            <w:shd w:val="clear" w:color="auto" w:fill="auto"/>
          </w:tcPr>
          <w:p w:rsidR="00A06425" w:rsidRPr="00573206" w:rsidRDefault="00573206" w:rsidP="004D086F">
            <w:pPr>
              <w:spacing w:before="60" w:after="60"/>
              <w:jc w:val="center"/>
              <w:rPr>
                <w:b/>
              </w:rPr>
            </w:pPr>
            <w:r>
              <w:rPr>
                <w:b/>
              </w:rPr>
              <w:t>MEiN</w:t>
            </w:r>
          </w:p>
        </w:tc>
        <w:tc>
          <w:tcPr>
            <w:tcW w:w="1843" w:type="dxa"/>
            <w:shd w:val="clear" w:color="auto" w:fill="auto"/>
          </w:tcPr>
          <w:p w:rsidR="00A06425" w:rsidRPr="00573206" w:rsidRDefault="005F7189" w:rsidP="004D086F">
            <w:pPr>
              <w:jc w:val="center"/>
            </w:pPr>
            <w:r w:rsidRPr="00573206">
              <w:t>Wybór celów polityki i celu szczegółowego FST (str. 9)</w:t>
            </w:r>
          </w:p>
        </w:tc>
        <w:tc>
          <w:tcPr>
            <w:tcW w:w="4678" w:type="dxa"/>
            <w:shd w:val="clear" w:color="auto" w:fill="auto"/>
          </w:tcPr>
          <w:p w:rsidR="00A06425" w:rsidRPr="00573206" w:rsidRDefault="005F7189" w:rsidP="004D086F">
            <w:pPr>
              <w:jc w:val="center"/>
            </w:pPr>
            <w:r w:rsidRPr="00573206">
              <w:t>Wątpliwe jest stwierdzenie, aby nawet najbardziej rozwinięte państwa były odporne na zagrożenia związane z globalizacją i zmianami klimatycznymi.</w:t>
            </w:r>
          </w:p>
        </w:tc>
        <w:tc>
          <w:tcPr>
            <w:tcW w:w="5812" w:type="dxa"/>
            <w:shd w:val="clear" w:color="auto" w:fill="auto"/>
          </w:tcPr>
          <w:p w:rsidR="0030062C" w:rsidRPr="00573206" w:rsidRDefault="005F7189" w:rsidP="004D086F">
            <w:pPr>
              <w:jc w:val="center"/>
            </w:pPr>
            <w:r w:rsidRPr="00573206">
              <w:t xml:space="preserve">Proponujemy usunąć fragment zdania: </w:t>
            </w:r>
          </w:p>
          <w:p w:rsidR="00A06425" w:rsidRPr="00573206" w:rsidRDefault="005F7189" w:rsidP="004D086F">
            <w:pPr>
              <w:jc w:val="center"/>
            </w:pPr>
            <w:r w:rsidRPr="00573206">
              <w:rPr>
                <w:i/>
              </w:rPr>
              <w:t>Dostępne środki finansowe z unijnego budżetu zwiększają szansę Polski na dynamizację procesu konwergencji i dołączenia do grona państw rozwiniętych, dysponujących nowoczesnym przemysłem i kapitałem wiedzy</w:t>
            </w:r>
            <w:r w:rsidRPr="00573206">
              <w:rPr>
                <w:i/>
                <w:strike/>
                <w:color w:val="FF0000"/>
              </w:rPr>
              <w:t>, odpornych na zagrożenia wynikające z globalizacji i zmian klimatycznych</w:t>
            </w:r>
            <w:r w:rsidRPr="00573206">
              <w:rPr>
                <w:i/>
              </w:rPr>
              <w:t>.</w:t>
            </w:r>
          </w:p>
        </w:tc>
        <w:tc>
          <w:tcPr>
            <w:tcW w:w="1359" w:type="dxa"/>
          </w:tcPr>
          <w:p w:rsidR="00A06425" w:rsidRPr="00573206" w:rsidRDefault="00A06425" w:rsidP="004D086F">
            <w:pPr>
              <w:jc w:val="center"/>
            </w:pPr>
          </w:p>
        </w:tc>
      </w:tr>
      <w:tr w:rsidR="00A06425" w:rsidRPr="00573206" w:rsidTr="00A06425">
        <w:tc>
          <w:tcPr>
            <w:tcW w:w="562" w:type="dxa"/>
            <w:shd w:val="clear" w:color="auto" w:fill="auto"/>
          </w:tcPr>
          <w:p w:rsidR="00A06425" w:rsidRPr="00573206" w:rsidRDefault="00A06425" w:rsidP="00A06425">
            <w:pPr>
              <w:spacing w:before="120" w:after="120"/>
              <w:jc w:val="center"/>
              <w:rPr>
                <w:b/>
              </w:rPr>
            </w:pPr>
            <w:r w:rsidRPr="00573206">
              <w:rPr>
                <w:b/>
              </w:rPr>
              <w:t>4</w:t>
            </w:r>
          </w:p>
        </w:tc>
        <w:tc>
          <w:tcPr>
            <w:tcW w:w="1134" w:type="dxa"/>
            <w:shd w:val="clear" w:color="auto" w:fill="auto"/>
          </w:tcPr>
          <w:p w:rsidR="00A06425" w:rsidRPr="00573206" w:rsidRDefault="00573206" w:rsidP="004D086F">
            <w:pPr>
              <w:spacing w:before="60" w:after="60"/>
              <w:jc w:val="center"/>
              <w:rPr>
                <w:b/>
              </w:rPr>
            </w:pPr>
            <w:r>
              <w:rPr>
                <w:b/>
              </w:rPr>
              <w:t>MEiN</w:t>
            </w:r>
          </w:p>
        </w:tc>
        <w:tc>
          <w:tcPr>
            <w:tcW w:w="1843" w:type="dxa"/>
            <w:shd w:val="clear" w:color="auto" w:fill="auto"/>
          </w:tcPr>
          <w:p w:rsidR="00A06425" w:rsidRPr="00573206" w:rsidRDefault="00DF470B" w:rsidP="004D086F">
            <w:pPr>
              <w:jc w:val="center"/>
            </w:pPr>
            <w:r w:rsidRPr="00573206">
              <w:t>Wybór celów polityki i celu szczegółowego FST (str. 9)</w:t>
            </w:r>
          </w:p>
        </w:tc>
        <w:tc>
          <w:tcPr>
            <w:tcW w:w="4678" w:type="dxa"/>
            <w:shd w:val="clear" w:color="auto" w:fill="auto"/>
          </w:tcPr>
          <w:p w:rsidR="00DF470B" w:rsidRPr="00573206" w:rsidRDefault="00DF470B" w:rsidP="004D086F">
            <w:pPr>
              <w:jc w:val="center"/>
            </w:pPr>
            <w:r w:rsidRPr="00573206">
              <w:rPr>
                <w:i/>
              </w:rPr>
              <w:t>- Produkt krajowy brutto na mieszkańca wg PPP szacuje się, że wzrośnie do 95% średniej dla UE-27 w 2030 r. (z 73% w 2019 r.);</w:t>
            </w:r>
            <w:r w:rsidRPr="00573206">
              <w:t xml:space="preserve"> </w:t>
            </w:r>
          </w:p>
          <w:p w:rsidR="00A06425" w:rsidRPr="00573206" w:rsidRDefault="0030062C" w:rsidP="004D086F">
            <w:pPr>
              <w:jc w:val="center"/>
            </w:pPr>
            <w:r w:rsidRPr="00573206">
              <w:t>Niepoprawny szyk zdania.</w:t>
            </w:r>
          </w:p>
        </w:tc>
        <w:tc>
          <w:tcPr>
            <w:tcW w:w="5812" w:type="dxa"/>
            <w:shd w:val="clear" w:color="auto" w:fill="auto"/>
          </w:tcPr>
          <w:p w:rsidR="00A06425" w:rsidRPr="00573206" w:rsidRDefault="0030062C" w:rsidP="004D086F">
            <w:pPr>
              <w:jc w:val="center"/>
            </w:pPr>
            <w:r w:rsidRPr="00573206">
              <w:t xml:space="preserve">Proponujemy zmianę na: </w:t>
            </w:r>
          </w:p>
          <w:p w:rsidR="0030062C" w:rsidRPr="00573206" w:rsidRDefault="0030062C" w:rsidP="0030062C">
            <w:pPr>
              <w:jc w:val="center"/>
              <w:rPr>
                <w:i/>
              </w:rPr>
            </w:pPr>
            <w:r w:rsidRPr="00573206">
              <w:rPr>
                <w:i/>
              </w:rPr>
              <w:t>Szacuje się, że produkt krajowy brutto na mieszkańca wg PPP wzrośnie do 95% średniej dla UE-27 w 2030 r. (z 73% w 2019 r.);</w:t>
            </w:r>
          </w:p>
        </w:tc>
        <w:tc>
          <w:tcPr>
            <w:tcW w:w="1359" w:type="dxa"/>
          </w:tcPr>
          <w:p w:rsidR="00A06425" w:rsidRPr="00573206" w:rsidRDefault="00A06425" w:rsidP="004D086F">
            <w:pPr>
              <w:jc w:val="center"/>
            </w:pPr>
          </w:p>
        </w:tc>
      </w:tr>
      <w:tr w:rsidR="00A06425" w:rsidRPr="00573206" w:rsidTr="00A06425">
        <w:tc>
          <w:tcPr>
            <w:tcW w:w="562" w:type="dxa"/>
            <w:shd w:val="clear" w:color="auto" w:fill="auto"/>
          </w:tcPr>
          <w:p w:rsidR="00A06425" w:rsidRPr="00573206" w:rsidRDefault="00A06425" w:rsidP="00A06425">
            <w:pPr>
              <w:spacing w:before="120" w:after="120"/>
              <w:jc w:val="center"/>
              <w:rPr>
                <w:b/>
              </w:rPr>
            </w:pPr>
            <w:r w:rsidRPr="00573206">
              <w:rPr>
                <w:b/>
              </w:rPr>
              <w:t>5</w:t>
            </w:r>
          </w:p>
        </w:tc>
        <w:tc>
          <w:tcPr>
            <w:tcW w:w="1134" w:type="dxa"/>
            <w:shd w:val="clear" w:color="auto" w:fill="auto"/>
          </w:tcPr>
          <w:p w:rsidR="00A06425" w:rsidRPr="00573206" w:rsidRDefault="00573206" w:rsidP="004D086F">
            <w:pPr>
              <w:spacing w:before="60" w:after="60"/>
              <w:jc w:val="center"/>
              <w:rPr>
                <w:b/>
              </w:rPr>
            </w:pPr>
            <w:r>
              <w:rPr>
                <w:b/>
              </w:rPr>
              <w:t>MEiN</w:t>
            </w:r>
          </w:p>
        </w:tc>
        <w:tc>
          <w:tcPr>
            <w:tcW w:w="1843" w:type="dxa"/>
            <w:shd w:val="clear" w:color="auto" w:fill="auto"/>
          </w:tcPr>
          <w:p w:rsidR="00A06425" w:rsidRPr="00573206" w:rsidRDefault="003447A2" w:rsidP="004D086F">
            <w:pPr>
              <w:jc w:val="center"/>
            </w:pPr>
            <w:r w:rsidRPr="00573206">
              <w:t xml:space="preserve">Wybór celów polityki i celu </w:t>
            </w:r>
            <w:r w:rsidRPr="00573206">
              <w:lastRenderedPageBreak/>
              <w:t>szczegółowego FST (str. 9)</w:t>
            </w:r>
          </w:p>
        </w:tc>
        <w:tc>
          <w:tcPr>
            <w:tcW w:w="4678" w:type="dxa"/>
            <w:shd w:val="clear" w:color="auto" w:fill="auto"/>
          </w:tcPr>
          <w:p w:rsidR="00DF470B" w:rsidRPr="00573206" w:rsidRDefault="00DF470B" w:rsidP="004D086F">
            <w:pPr>
              <w:jc w:val="center"/>
            </w:pPr>
            <w:r w:rsidRPr="00573206">
              <w:rPr>
                <w:i/>
              </w:rPr>
              <w:lastRenderedPageBreak/>
              <w:t xml:space="preserve">Inwestycje w ramach polityki spójności przyczynią się również do wzrostu inwestycji </w:t>
            </w:r>
            <w:r w:rsidRPr="00573206">
              <w:rPr>
                <w:i/>
              </w:rPr>
              <w:lastRenderedPageBreak/>
              <w:t>sektora rządowego i samorządowego, który szacuje się, że w 2030 r. powinien osiągnąć poziom powyżej średniej unijnej (z 4,3% w 2019 r.):</w:t>
            </w:r>
            <w:r w:rsidRPr="00573206">
              <w:t xml:space="preserve"> </w:t>
            </w:r>
          </w:p>
          <w:p w:rsidR="001B228B" w:rsidRPr="00573206" w:rsidRDefault="001B228B" w:rsidP="004D086F">
            <w:pPr>
              <w:jc w:val="center"/>
            </w:pPr>
          </w:p>
          <w:p w:rsidR="00A06425" w:rsidRPr="00573206" w:rsidRDefault="001B228B" w:rsidP="004D086F">
            <w:pPr>
              <w:jc w:val="center"/>
            </w:pPr>
            <w:r w:rsidRPr="00573206">
              <w:t xml:space="preserve">Nie </w:t>
            </w:r>
            <w:r w:rsidR="00B14E79" w:rsidRPr="00573206">
              <w:t xml:space="preserve">jest jasne, czy mowa o poziomie średniej unijnej z 2030, czy 2019 r. </w:t>
            </w:r>
          </w:p>
        </w:tc>
        <w:tc>
          <w:tcPr>
            <w:tcW w:w="5812" w:type="dxa"/>
            <w:shd w:val="clear" w:color="auto" w:fill="auto"/>
          </w:tcPr>
          <w:p w:rsidR="00A06425" w:rsidRPr="00573206" w:rsidRDefault="00B14E79" w:rsidP="004D086F">
            <w:pPr>
              <w:jc w:val="center"/>
            </w:pPr>
            <w:r w:rsidRPr="00573206">
              <w:lastRenderedPageBreak/>
              <w:t>Prośba o doprecyzowanie zapisu.</w:t>
            </w:r>
          </w:p>
        </w:tc>
        <w:tc>
          <w:tcPr>
            <w:tcW w:w="1359" w:type="dxa"/>
          </w:tcPr>
          <w:p w:rsidR="00A06425" w:rsidRPr="00573206" w:rsidRDefault="00A06425" w:rsidP="004D086F">
            <w:pPr>
              <w:jc w:val="center"/>
            </w:pPr>
          </w:p>
        </w:tc>
      </w:tr>
      <w:tr w:rsidR="00B14E79" w:rsidRPr="00573206" w:rsidTr="00A06425">
        <w:tc>
          <w:tcPr>
            <w:tcW w:w="562" w:type="dxa"/>
            <w:shd w:val="clear" w:color="auto" w:fill="auto"/>
          </w:tcPr>
          <w:p w:rsidR="00B14E79" w:rsidRPr="00573206" w:rsidRDefault="00D40D11" w:rsidP="00A06425">
            <w:pPr>
              <w:spacing w:before="120" w:after="120"/>
              <w:jc w:val="center"/>
              <w:rPr>
                <w:b/>
              </w:rPr>
            </w:pPr>
            <w:r w:rsidRPr="00573206">
              <w:rPr>
                <w:b/>
              </w:rPr>
              <w:t>6</w:t>
            </w:r>
          </w:p>
        </w:tc>
        <w:tc>
          <w:tcPr>
            <w:tcW w:w="1134" w:type="dxa"/>
            <w:shd w:val="clear" w:color="auto" w:fill="auto"/>
          </w:tcPr>
          <w:p w:rsidR="00B14E79" w:rsidRPr="00573206" w:rsidRDefault="00573206" w:rsidP="004D086F">
            <w:pPr>
              <w:spacing w:before="60" w:after="60"/>
              <w:jc w:val="center"/>
              <w:rPr>
                <w:b/>
              </w:rPr>
            </w:pPr>
            <w:r>
              <w:rPr>
                <w:b/>
              </w:rPr>
              <w:t>MEiN</w:t>
            </w:r>
          </w:p>
        </w:tc>
        <w:tc>
          <w:tcPr>
            <w:tcW w:w="1843" w:type="dxa"/>
            <w:shd w:val="clear" w:color="auto" w:fill="auto"/>
          </w:tcPr>
          <w:p w:rsidR="00B14E79" w:rsidRPr="00573206" w:rsidRDefault="003447A2" w:rsidP="004D086F">
            <w:pPr>
              <w:jc w:val="center"/>
            </w:pPr>
            <w:r w:rsidRPr="00573206">
              <w:t>Wybór celów polityki i celu szczegółowego FST (str. 9)</w:t>
            </w:r>
          </w:p>
        </w:tc>
        <w:tc>
          <w:tcPr>
            <w:tcW w:w="4678" w:type="dxa"/>
            <w:shd w:val="clear" w:color="auto" w:fill="auto"/>
          </w:tcPr>
          <w:p w:rsidR="003447A2" w:rsidRPr="00573206" w:rsidRDefault="003447A2" w:rsidP="003447A2">
            <w:pPr>
              <w:jc w:val="center"/>
              <w:rPr>
                <w:i/>
              </w:rPr>
            </w:pPr>
            <w:r w:rsidRPr="00573206">
              <w:rPr>
                <w:i/>
              </w:rPr>
              <w:t>- inwestycje z polityki spójności wpłyną również pozytywnie na poziom zróżnicowania w rozwoju społeczno-gospodarczym między regionami mierzone zróżnicowniem PKB na 1 mieszkańca na poziomie podregionów (NUTS3) – prognozuje się, że uda się utrzymać wartość tego wskaźnika na poziomie z 2018 r. tj. 35,4%.</w:t>
            </w:r>
          </w:p>
          <w:p w:rsidR="003447A2" w:rsidRPr="00573206" w:rsidRDefault="003447A2" w:rsidP="003447A2">
            <w:pPr>
              <w:jc w:val="center"/>
              <w:rPr>
                <w:i/>
              </w:rPr>
            </w:pPr>
          </w:p>
          <w:p w:rsidR="003447A2" w:rsidRPr="00573206" w:rsidRDefault="003447A2" w:rsidP="001D3696">
            <w:pPr>
              <w:pStyle w:val="Akapitzlist"/>
              <w:numPr>
                <w:ilvl w:val="0"/>
                <w:numId w:val="1"/>
              </w:numPr>
            </w:pPr>
            <w:r w:rsidRPr="00573206">
              <w:t>Literówki</w:t>
            </w:r>
          </w:p>
          <w:p w:rsidR="003447A2" w:rsidRPr="00573206" w:rsidRDefault="003447A2" w:rsidP="001D3696">
            <w:pPr>
              <w:pStyle w:val="Akapitzlist"/>
              <w:numPr>
                <w:ilvl w:val="0"/>
                <w:numId w:val="1"/>
              </w:numPr>
            </w:pPr>
            <w:r w:rsidRPr="00573206">
              <w:t>Czy samo utrzymanie zróżnicowania pomiędzy regionami na poziomie z 2018 r. można uznać za pozytywny wpływ inwestycji z polityki spójności? Wydaje się, że bardziej pozytywne byłoby zmniejszenie tych różnic.</w:t>
            </w:r>
          </w:p>
          <w:p w:rsidR="00B14E79" w:rsidRPr="00573206" w:rsidRDefault="00B14E79" w:rsidP="004D086F">
            <w:pPr>
              <w:jc w:val="center"/>
            </w:pPr>
          </w:p>
        </w:tc>
        <w:tc>
          <w:tcPr>
            <w:tcW w:w="5812" w:type="dxa"/>
            <w:shd w:val="clear" w:color="auto" w:fill="auto"/>
          </w:tcPr>
          <w:p w:rsidR="003447A2" w:rsidRPr="00573206" w:rsidRDefault="003447A2" w:rsidP="003447A2">
            <w:r w:rsidRPr="00573206">
              <w:t xml:space="preserve">Ad. 1 </w:t>
            </w:r>
            <w:r w:rsidRPr="00573206">
              <w:rPr>
                <w:i/>
              </w:rPr>
              <w:t>- inwestycje z polityki spójności wpłyną również pozytywnie na poziom zróżnicowania w rozwoju społeczno-gospodarczym między regionami mierzon</w:t>
            </w:r>
            <w:r w:rsidRPr="00573206">
              <w:rPr>
                <w:i/>
                <w:color w:val="FF0000"/>
              </w:rPr>
              <w:t>y</w:t>
            </w:r>
            <w:r w:rsidRPr="00573206">
              <w:rPr>
                <w:i/>
              </w:rPr>
              <w:t xml:space="preserve"> zróżnicow</w:t>
            </w:r>
            <w:r w:rsidRPr="00573206">
              <w:rPr>
                <w:i/>
                <w:color w:val="FF0000"/>
              </w:rPr>
              <w:t>a</w:t>
            </w:r>
            <w:r w:rsidRPr="00573206">
              <w:rPr>
                <w:i/>
              </w:rPr>
              <w:t>niem PKB na 1 mieszkańca na poziomie podregionów (NUTS3) – prognozuje się, że uda się utrzymać wartość tego wskaźnika na poziomie z 2018 r. tj. 35,4%.</w:t>
            </w:r>
          </w:p>
          <w:p w:rsidR="00B14E79" w:rsidRPr="00573206" w:rsidRDefault="00B14E79" w:rsidP="004D086F">
            <w:pPr>
              <w:jc w:val="center"/>
            </w:pPr>
          </w:p>
        </w:tc>
        <w:tc>
          <w:tcPr>
            <w:tcW w:w="1359" w:type="dxa"/>
          </w:tcPr>
          <w:p w:rsidR="00B14E79" w:rsidRPr="00573206" w:rsidRDefault="00B14E79" w:rsidP="004D086F">
            <w:pPr>
              <w:jc w:val="center"/>
            </w:pPr>
          </w:p>
        </w:tc>
      </w:tr>
      <w:tr w:rsidR="00B14E79" w:rsidRPr="00573206" w:rsidTr="00A06425">
        <w:tc>
          <w:tcPr>
            <w:tcW w:w="562" w:type="dxa"/>
            <w:shd w:val="clear" w:color="auto" w:fill="auto"/>
          </w:tcPr>
          <w:p w:rsidR="00B14E79" w:rsidRPr="00573206" w:rsidRDefault="00D40D11" w:rsidP="00A06425">
            <w:pPr>
              <w:spacing w:before="120" w:after="120"/>
              <w:jc w:val="center"/>
              <w:rPr>
                <w:b/>
              </w:rPr>
            </w:pPr>
            <w:r w:rsidRPr="00573206">
              <w:rPr>
                <w:b/>
              </w:rPr>
              <w:t>7</w:t>
            </w:r>
          </w:p>
        </w:tc>
        <w:tc>
          <w:tcPr>
            <w:tcW w:w="1134" w:type="dxa"/>
            <w:shd w:val="clear" w:color="auto" w:fill="auto"/>
          </w:tcPr>
          <w:p w:rsidR="00B14E79" w:rsidRPr="00573206" w:rsidRDefault="00573206" w:rsidP="004D086F">
            <w:pPr>
              <w:spacing w:before="60" w:after="60"/>
              <w:jc w:val="center"/>
              <w:rPr>
                <w:b/>
              </w:rPr>
            </w:pPr>
            <w:r>
              <w:rPr>
                <w:b/>
              </w:rPr>
              <w:t>MEiN</w:t>
            </w:r>
          </w:p>
        </w:tc>
        <w:tc>
          <w:tcPr>
            <w:tcW w:w="1843" w:type="dxa"/>
            <w:shd w:val="clear" w:color="auto" w:fill="auto"/>
          </w:tcPr>
          <w:p w:rsidR="00B14E79" w:rsidRPr="00573206" w:rsidRDefault="001D3696" w:rsidP="004D086F">
            <w:pPr>
              <w:jc w:val="center"/>
            </w:pPr>
            <w:r w:rsidRPr="00573206">
              <w:t>Cel „Bardziej konkurencyjna i inteligentna Europa dzięki promowaniu innowacyjnej i inteligentnej transformacji gospodarczej” (CP1) (str. 11)</w:t>
            </w:r>
          </w:p>
        </w:tc>
        <w:tc>
          <w:tcPr>
            <w:tcW w:w="4678" w:type="dxa"/>
            <w:shd w:val="clear" w:color="auto" w:fill="auto"/>
          </w:tcPr>
          <w:p w:rsidR="00B14E79" w:rsidRPr="00573206" w:rsidRDefault="001D3696" w:rsidP="004D086F">
            <w:pPr>
              <w:jc w:val="center"/>
            </w:pPr>
            <w:r w:rsidRPr="00573206">
              <w:t>Niezbędnym działaniem na rzecz wzrostu produktywności polskiej gospodarki jest również zapewnienie dostępu (w ty komercyjnego) do infrastruktury obliczeniowej dużej mocy – HPC.</w:t>
            </w:r>
          </w:p>
        </w:tc>
        <w:tc>
          <w:tcPr>
            <w:tcW w:w="5812" w:type="dxa"/>
            <w:shd w:val="clear" w:color="auto" w:fill="auto"/>
          </w:tcPr>
          <w:p w:rsidR="00B14E79" w:rsidRPr="00573206" w:rsidRDefault="001D3696" w:rsidP="004D086F">
            <w:pPr>
              <w:jc w:val="center"/>
            </w:pPr>
            <w:r w:rsidRPr="00573206">
              <w:t>Proponujemy zmianę poniższego zdania:</w:t>
            </w:r>
          </w:p>
          <w:p w:rsidR="001D3696" w:rsidRPr="00573206" w:rsidRDefault="00717176" w:rsidP="008B500E">
            <w:pPr>
              <w:pStyle w:val="Akapitzlist"/>
              <w:numPr>
                <w:ilvl w:val="0"/>
                <w:numId w:val="2"/>
              </w:numPr>
              <w:jc w:val="center"/>
              <w:rPr>
                <w:i/>
              </w:rPr>
            </w:pPr>
            <w:r w:rsidRPr="00573206">
              <w:rPr>
                <w:i/>
              </w:rPr>
              <w:t>budowa i modernizacja infrastruktury szerokopasmowej, umożliwiającej transformację cyfrową gospodarki</w:t>
            </w:r>
            <w:r w:rsidRPr="00573206">
              <w:rPr>
                <w:i/>
                <w:color w:val="FF0000"/>
              </w:rPr>
              <w:t xml:space="preserve"> oraz zapewnienie dostępu do wysokowydajnej infrastruktury obliczeniowe</w:t>
            </w:r>
            <w:r w:rsidR="008B500E" w:rsidRPr="00573206">
              <w:rPr>
                <w:i/>
                <w:color w:val="FF0000"/>
              </w:rPr>
              <w:t>j (HPC)</w:t>
            </w:r>
            <w:r w:rsidRPr="00573206">
              <w:rPr>
                <w:i/>
              </w:rPr>
              <w:t>.</w:t>
            </w:r>
          </w:p>
        </w:tc>
        <w:tc>
          <w:tcPr>
            <w:tcW w:w="1359" w:type="dxa"/>
          </w:tcPr>
          <w:p w:rsidR="00B14E79" w:rsidRPr="00573206" w:rsidRDefault="00B14E79" w:rsidP="004D086F">
            <w:pPr>
              <w:jc w:val="center"/>
            </w:pPr>
          </w:p>
        </w:tc>
      </w:tr>
      <w:tr w:rsidR="00B14E79" w:rsidRPr="00573206" w:rsidTr="00A06425">
        <w:tc>
          <w:tcPr>
            <w:tcW w:w="562" w:type="dxa"/>
            <w:shd w:val="clear" w:color="auto" w:fill="auto"/>
          </w:tcPr>
          <w:p w:rsidR="00B14E79" w:rsidRPr="00573206" w:rsidRDefault="00D40D11" w:rsidP="00D40D11">
            <w:pPr>
              <w:spacing w:before="120" w:after="120"/>
              <w:rPr>
                <w:b/>
              </w:rPr>
            </w:pPr>
            <w:r w:rsidRPr="00573206">
              <w:rPr>
                <w:b/>
              </w:rPr>
              <w:t>8</w:t>
            </w:r>
          </w:p>
        </w:tc>
        <w:tc>
          <w:tcPr>
            <w:tcW w:w="1134" w:type="dxa"/>
            <w:shd w:val="clear" w:color="auto" w:fill="auto"/>
          </w:tcPr>
          <w:p w:rsidR="00B14E79" w:rsidRPr="00573206" w:rsidRDefault="00573206" w:rsidP="004D086F">
            <w:pPr>
              <w:spacing w:before="60" w:after="60"/>
              <w:jc w:val="center"/>
              <w:rPr>
                <w:b/>
              </w:rPr>
            </w:pPr>
            <w:r>
              <w:rPr>
                <w:b/>
              </w:rPr>
              <w:t>MEiN</w:t>
            </w:r>
          </w:p>
        </w:tc>
        <w:tc>
          <w:tcPr>
            <w:tcW w:w="1843" w:type="dxa"/>
            <w:shd w:val="clear" w:color="auto" w:fill="auto"/>
          </w:tcPr>
          <w:p w:rsidR="00B14E79" w:rsidRPr="00573206" w:rsidRDefault="005F1B00" w:rsidP="005F1B00">
            <w:pPr>
              <w:jc w:val="center"/>
            </w:pPr>
            <w:r w:rsidRPr="00573206">
              <w:t xml:space="preserve">Cel „Bardziej konkurencyjna i </w:t>
            </w:r>
            <w:r w:rsidRPr="00573206">
              <w:lastRenderedPageBreak/>
              <w:t>inteligentna Europa dzięki promowaniu innowacyjnej i inteligentnej transformacji gospodarczej” (CP1) (str. 12)</w:t>
            </w:r>
          </w:p>
        </w:tc>
        <w:tc>
          <w:tcPr>
            <w:tcW w:w="4678" w:type="dxa"/>
            <w:shd w:val="clear" w:color="auto" w:fill="auto"/>
          </w:tcPr>
          <w:p w:rsidR="005F1B00" w:rsidRPr="00573206" w:rsidRDefault="005F1B00" w:rsidP="005F1B00">
            <w:pPr>
              <w:jc w:val="center"/>
              <w:rPr>
                <w:i/>
              </w:rPr>
            </w:pPr>
            <w:r w:rsidRPr="00573206">
              <w:rPr>
                <w:i/>
              </w:rPr>
              <w:lastRenderedPageBreak/>
              <w:t xml:space="preserve">W tym aspekcie szczególnie istotny będzie dalszy rozwój infrastruktury </w:t>
            </w:r>
            <w:r w:rsidRPr="00573206">
              <w:rPr>
                <w:i/>
              </w:rPr>
              <w:lastRenderedPageBreak/>
              <w:t>szerokopasmowej, którego celem będzie zapewnienie dostępu do sieci jak największej liczbie gospodarstw domowych, przedsiębiorstw oraz w budynkach użyteczności publicznej w szczególności na terenach, na których nie są przewidziane inwestycje</w:t>
            </w:r>
          </w:p>
          <w:p w:rsidR="00B14E79" w:rsidRPr="00573206" w:rsidRDefault="005F1B00" w:rsidP="005F1B00">
            <w:pPr>
              <w:jc w:val="center"/>
              <w:rPr>
                <w:i/>
              </w:rPr>
            </w:pPr>
            <w:r w:rsidRPr="00573206">
              <w:rPr>
                <w:i/>
              </w:rPr>
              <w:t>komercyjne ze względu na ich niedochodowość.</w:t>
            </w:r>
          </w:p>
          <w:p w:rsidR="005F1B00" w:rsidRPr="00573206" w:rsidRDefault="005F1B00" w:rsidP="005F1B00">
            <w:pPr>
              <w:jc w:val="center"/>
              <w:rPr>
                <w:i/>
              </w:rPr>
            </w:pPr>
          </w:p>
          <w:p w:rsidR="005F1B00" w:rsidRPr="00573206" w:rsidRDefault="005F1B00" w:rsidP="005F1B00">
            <w:pPr>
              <w:jc w:val="center"/>
            </w:pPr>
            <w:r w:rsidRPr="00573206">
              <w:t>- Narodowy Plan Szerokopasmowy wskazuje jako cel „Zapewnienie ultraszybkiego dostępu do internetu wszystkim gospodarstwom domowym</w:t>
            </w:r>
          </w:p>
          <w:p w:rsidR="005F1B00" w:rsidRPr="00573206" w:rsidRDefault="005F1B00" w:rsidP="005F1B00">
            <w:pPr>
              <w:jc w:val="center"/>
            </w:pPr>
            <w:r w:rsidRPr="00573206">
              <w:t>w kraju” (3.1.1). Z kolei projekt decyzji Parlamentu i Rady ustanawiającej Program  “Path to the Digital Decade” stwierdza, że do 2030 r.  sieci o gigabitowych prędkościach powinny być łatwo dostępne dla wszystkich, którzy potrzebują bądź życzą sobie takich przepustowości (str. 2). W związku z tym zasadne wydaje się odpowiednie uzupełnienie tekstu.</w:t>
            </w:r>
          </w:p>
        </w:tc>
        <w:tc>
          <w:tcPr>
            <w:tcW w:w="5812" w:type="dxa"/>
            <w:shd w:val="clear" w:color="auto" w:fill="auto"/>
          </w:tcPr>
          <w:p w:rsidR="00B14E79" w:rsidRPr="00573206" w:rsidRDefault="005F1B00" w:rsidP="004D086F">
            <w:pPr>
              <w:jc w:val="center"/>
            </w:pPr>
            <w:r w:rsidRPr="00573206">
              <w:lastRenderedPageBreak/>
              <w:t>Proponujemy uzupełnić zdanie:</w:t>
            </w:r>
          </w:p>
          <w:p w:rsidR="005F1B00" w:rsidRPr="00573206" w:rsidRDefault="005F1B00" w:rsidP="005F1B00">
            <w:pPr>
              <w:jc w:val="center"/>
              <w:rPr>
                <w:i/>
              </w:rPr>
            </w:pPr>
            <w:r w:rsidRPr="00573206">
              <w:rPr>
                <w:i/>
              </w:rPr>
              <w:lastRenderedPageBreak/>
              <w:t xml:space="preserve">W tym aspekcie szczególnie istotny będzie dalszy rozwój infrastruktury szerokopasmowej, którego celem będzie zapewnienie dostępu do sieci </w:t>
            </w:r>
            <w:r w:rsidR="00A810D6" w:rsidRPr="00573206">
              <w:rPr>
                <w:i/>
                <w:color w:val="FF0000"/>
              </w:rPr>
              <w:t>o wysokiej prze</w:t>
            </w:r>
            <w:r w:rsidR="00732A41" w:rsidRPr="00573206">
              <w:rPr>
                <w:i/>
                <w:color w:val="FF0000"/>
              </w:rPr>
              <w:t>pustowości ( co najmniej 10</w:t>
            </w:r>
            <w:r w:rsidR="00C902BE" w:rsidRPr="00573206">
              <w:rPr>
                <w:i/>
                <w:color w:val="FF0000"/>
              </w:rPr>
              <w:t>0 Mb</w:t>
            </w:r>
            <w:r w:rsidR="00A810D6" w:rsidRPr="00573206">
              <w:rPr>
                <w:i/>
                <w:color w:val="FF0000"/>
              </w:rPr>
              <w:t>/s)</w:t>
            </w:r>
            <w:r w:rsidR="00A810D6" w:rsidRPr="00573206">
              <w:rPr>
                <w:i/>
              </w:rPr>
              <w:t xml:space="preserve"> </w:t>
            </w:r>
            <w:r w:rsidR="00A810D6" w:rsidRPr="00573206">
              <w:rPr>
                <w:i/>
                <w:color w:val="FF0000"/>
              </w:rPr>
              <w:t xml:space="preserve">wszystkim </w:t>
            </w:r>
            <w:r w:rsidRPr="00573206">
              <w:rPr>
                <w:i/>
              </w:rPr>
              <w:t>gospodarstw</w:t>
            </w:r>
            <w:r w:rsidR="00A810D6" w:rsidRPr="00573206">
              <w:rPr>
                <w:i/>
                <w:color w:val="FF0000"/>
              </w:rPr>
              <w:t>om</w:t>
            </w:r>
            <w:r w:rsidRPr="00573206">
              <w:rPr>
                <w:i/>
              </w:rPr>
              <w:t xml:space="preserve"> domowy</w:t>
            </w:r>
            <w:r w:rsidR="00A810D6" w:rsidRPr="00573206">
              <w:rPr>
                <w:i/>
                <w:color w:val="FF0000"/>
              </w:rPr>
              <w:t>m</w:t>
            </w:r>
            <w:r w:rsidRPr="00573206">
              <w:rPr>
                <w:i/>
              </w:rPr>
              <w:t xml:space="preserve">, </w:t>
            </w:r>
            <w:r w:rsidRPr="00573206">
              <w:rPr>
                <w:i/>
                <w:color w:val="FF0000"/>
              </w:rPr>
              <w:t xml:space="preserve">jak największej liczbie </w:t>
            </w:r>
            <w:r w:rsidRPr="00573206">
              <w:rPr>
                <w:i/>
              </w:rPr>
              <w:t>przedsiębiorstw oraz w budynkach użyteczności publicznej w szczególności na terenach, na których nie są przewidziane inwestycje</w:t>
            </w:r>
          </w:p>
          <w:p w:rsidR="005F1B00" w:rsidRPr="00573206" w:rsidRDefault="005F1B00" w:rsidP="005F1B00">
            <w:pPr>
              <w:jc w:val="center"/>
              <w:rPr>
                <w:i/>
              </w:rPr>
            </w:pPr>
            <w:r w:rsidRPr="00573206">
              <w:rPr>
                <w:i/>
              </w:rPr>
              <w:t>komercyjne ze względu na ich niedochodowość.</w:t>
            </w:r>
          </w:p>
          <w:p w:rsidR="005F1B00" w:rsidRPr="00573206" w:rsidRDefault="005F1B00" w:rsidP="004D086F">
            <w:pPr>
              <w:jc w:val="center"/>
            </w:pPr>
          </w:p>
        </w:tc>
        <w:tc>
          <w:tcPr>
            <w:tcW w:w="1359" w:type="dxa"/>
          </w:tcPr>
          <w:p w:rsidR="00B14E79" w:rsidRPr="00573206" w:rsidRDefault="00B14E79" w:rsidP="004D086F">
            <w:pPr>
              <w:jc w:val="center"/>
            </w:pPr>
          </w:p>
        </w:tc>
      </w:tr>
      <w:tr w:rsidR="005F1B00" w:rsidRPr="00573206" w:rsidTr="00A06425">
        <w:tc>
          <w:tcPr>
            <w:tcW w:w="562" w:type="dxa"/>
            <w:shd w:val="clear" w:color="auto" w:fill="auto"/>
          </w:tcPr>
          <w:p w:rsidR="005F1B00" w:rsidRPr="00573206" w:rsidRDefault="00D40D11" w:rsidP="00A06425">
            <w:pPr>
              <w:spacing w:before="120" w:after="120"/>
              <w:jc w:val="center"/>
              <w:rPr>
                <w:b/>
              </w:rPr>
            </w:pPr>
            <w:r w:rsidRPr="00573206">
              <w:rPr>
                <w:b/>
              </w:rPr>
              <w:t>9</w:t>
            </w:r>
          </w:p>
        </w:tc>
        <w:tc>
          <w:tcPr>
            <w:tcW w:w="1134" w:type="dxa"/>
            <w:shd w:val="clear" w:color="auto" w:fill="auto"/>
          </w:tcPr>
          <w:p w:rsidR="005F1B00" w:rsidRPr="00573206" w:rsidRDefault="00573206" w:rsidP="004D086F">
            <w:pPr>
              <w:spacing w:before="60" w:after="60"/>
              <w:jc w:val="center"/>
              <w:rPr>
                <w:b/>
              </w:rPr>
            </w:pPr>
            <w:r>
              <w:rPr>
                <w:b/>
              </w:rPr>
              <w:t>MEiN</w:t>
            </w:r>
          </w:p>
        </w:tc>
        <w:tc>
          <w:tcPr>
            <w:tcW w:w="1843" w:type="dxa"/>
            <w:shd w:val="clear" w:color="auto" w:fill="auto"/>
          </w:tcPr>
          <w:p w:rsidR="005F1B00" w:rsidRPr="00573206" w:rsidRDefault="006239A3" w:rsidP="004D086F">
            <w:pPr>
              <w:jc w:val="center"/>
            </w:pPr>
            <w:r w:rsidRPr="00573206">
              <w:t>Obszar: wzmacnianie potencjału przedsiębiorstw i administracji publicznej na rzecz nowoczesnej gospodarki (str. 15)</w:t>
            </w:r>
          </w:p>
        </w:tc>
        <w:tc>
          <w:tcPr>
            <w:tcW w:w="4678" w:type="dxa"/>
            <w:shd w:val="clear" w:color="auto" w:fill="auto"/>
          </w:tcPr>
          <w:p w:rsidR="005F1B00" w:rsidRPr="00573206" w:rsidRDefault="006239A3" w:rsidP="004D086F">
            <w:pPr>
              <w:jc w:val="center"/>
              <w:rPr>
                <w:i/>
              </w:rPr>
            </w:pPr>
            <w:r w:rsidRPr="00573206">
              <w:rPr>
                <w:i/>
              </w:rPr>
              <w:t>Ograniczone wykorzystanie technologii cyfrowych może wynikać w pewnym stopniu z trudności przedsiębiorstw w zatrudnianiu specjalistów…</w:t>
            </w:r>
          </w:p>
          <w:p w:rsidR="006239A3" w:rsidRPr="00573206" w:rsidRDefault="006239A3" w:rsidP="004D086F">
            <w:pPr>
              <w:jc w:val="center"/>
              <w:rPr>
                <w:i/>
              </w:rPr>
            </w:pPr>
          </w:p>
          <w:p w:rsidR="006239A3" w:rsidRPr="00573206" w:rsidRDefault="006239A3" w:rsidP="004D086F">
            <w:pPr>
              <w:jc w:val="center"/>
            </w:pPr>
            <w:r w:rsidRPr="00573206">
              <w:t>Nie jest jasne, o jakich konkretnie trudnościach mowa. Jednocześnie, pominięto rolę niedoboru specjalistów z szeroko rozumianego obszaru ICT oraz ich odpływu za granicę (tzw. Brain Drain).</w:t>
            </w:r>
          </w:p>
        </w:tc>
        <w:tc>
          <w:tcPr>
            <w:tcW w:w="5812" w:type="dxa"/>
            <w:shd w:val="clear" w:color="auto" w:fill="auto"/>
          </w:tcPr>
          <w:p w:rsidR="005F1B00" w:rsidRPr="00573206" w:rsidRDefault="008B500E" w:rsidP="004D086F">
            <w:pPr>
              <w:jc w:val="center"/>
            </w:pPr>
            <w:r w:rsidRPr="00573206">
              <w:t>Prośba o doprecyzowanie zdania oraz uwzględnienie kwestii poruszonych w uwadze.</w:t>
            </w:r>
          </w:p>
        </w:tc>
        <w:tc>
          <w:tcPr>
            <w:tcW w:w="1359" w:type="dxa"/>
          </w:tcPr>
          <w:p w:rsidR="005F1B00" w:rsidRPr="00573206" w:rsidRDefault="005F1B00" w:rsidP="004D086F">
            <w:pPr>
              <w:jc w:val="center"/>
            </w:pPr>
          </w:p>
        </w:tc>
      </w:tr>
      <w:tr w:rsidR="005F1B00" w:rsidRPr="00573206" w:rsidTr="00A06425">
        <w:tc>
          <w:tcPr>
            <w:tcW w:w="562" w:type="dxa"/>
            <w:shd w:val="clear" w:color="auto" w:fill="auto"/>
          </w:tcPr>
          <w:p w:rsidR="005F1B00" w:rsidRPr="00573206" w:rsidRDefault="00D40D11" w:rsidP="00A06425">
            <w:pPr>
              <w:spacing w:before="120" w:after="120"/>
              <w:jc w:val="center"/>
              <w:rPr>
                <w:b/>
              </w:rPr>
            </w:pPr>
            <w:r w:rsidRPr="00573206">
              <w:rPr>
                <w:b/>
              </w:rPr>
              <w:t>10</w:t>
            </w:r>
          </w:p>
        </w:tc>
        <w:tc>
          <w:tcPr>
            <w:tcW w:w="1134" w:type="dxa"/>
            <w:shd w:val="clear" w:color="auto" w:fill="auto"/>
          </w:tcPr>
          <w:p w:rsidR="005F1B00" w:rsidRPr="00573206" w:rsidRDefault="00573206" w:rsidP="004D086F">
            <w:pPr>
              <w:spacing w:before="60" w:after="60"/>
              <w:jc w:val="center"/>
              <w:rPr>
                <w:b/>
              </w:rPr>
            </w:pPr>
            <w:r>
              <w:rPr>
                <w:b/>
              </w:rPr>
              <w:t>MEiN</w:t>
            </w:r>
          </w:p>
        </w:tc>
        <w:tc>
          <w:tcPr>
            <w:tcW w:w="1843" w:type="dxa"/>
            <w:shd w:val="clear" w:color="auto" w:fill="auto"/>
          </w:tcPr>
          <w:p w:rsidR="005F1B00" w:rsidRPr="00573206" w:rsidRDefault="00833DBA" w:rsidP="004D086F">
            <w:pPr>
              <w:jc w:val="center"/>
            </w:pPr>
            <w:r w:rsidRPr="00573206">
              <w:t>Obszar: rynek pracy, zasoby ludzkie (str. 44)</w:t>
            </w:r>
          </w:p>
        </w:tc>
        <w:tc>
          <w:tcPr>
            <w:tcW w:w="4678" w:type="dxa"/>
            <w:shd w:val="clear" w:color="auto" w:fill="auto"/>
          </w:tcPr>
          <w:p w:rsidR="005F1B00" w:rsidRPr="00573206" w:rsidRDefault="00833DBA" w:rsidP="004D086F">
            <w:pPr>
              <w:jc w:val="center"/>
            </w:pPr>
            <w:r w:rsidRPr="00573206">
              <w:t xml:space="preserve">Istotne w kontekście zmian na rynku pracy jest również zapewnienie pracownikom co najmniej podstawowych kompetencji cyfrowych, które obecnie są coraz bardziej </w:t>
            </w:r>
            <w:r w:rsidRPr="00573206">
              <w:lastRenderedPageBreak/>
              <w:t>pożądane, a ich posiadanie nierzadko jest warunkiem koniecznym do podjęcia zatrudnienia.</w:t>
            </w:r>
          </w:p>
        </w:tc>
        <w:tc>
          <w:tcPr>
            <w:tcW w:w="5812" w:type="dxa"/>
            <w:shd w:val="clear" w:color="auto" w:fill="auto"/>
          </w:tcPr>
          <w:p w:rsidR="00833DBA" w:rsidRPr="00573206" w:rsidRDefault="00833DBA" w:rsidP="004D086F">
            <w:pPr>
              <w:jc w:val="center"/>
            </w:pPr>
            <w:r w:rsidRPr="00573206">
              <w:lastRenderedPageBreak/>
              <w:t>Proponujemy dodać zapis po poniższym zdaniu:</w:t>
            </w:r>
          </w:p>
          <w:p w:rsidR="005F1B00" w:rsidRPr="00573206" w:rsidRDefault="00833DBA" w:rsidP="004D086F">
            <w:pPr>
              <w:jc w:val="center"/>
              <w:rPr>
                <w:i/>
                <w:color w:val="FF0000"/>
              </w:rPr>
            </w:pPr>
            <w:r w:rsidRPr="00573206">
              <w:rPr>
                <w:i/>
              </w:rPr>
              <w:t xml:space="preserve">W tym kontekście, istotne jest wzmacnianie adaptacyjności pracowników, przede wszystkim przez ułatwienie dostępu do usług rozwojowych i rozwijanie </w:t>
            </w:r>
            <w:r w:rsidRPr="00573206">
              <w:rPr>
                <w:i/>
              </w:rPr>
              <w:lastRenderedPageBreak/>
              <w:t xml:space="preserve">mechanizmów popytowych dostarczania tych usług. </w:t>
            </w:r>
            <w:r w:rsidRPr="00573206">
              <w:rPr>
                <w:i/>
                <w:color w:val="FF0000"/>
              </w:rPr>
              <w:t>Kluczowe jest również kształtowanie i rozwijanie kompetencji cyfrowych, zarówno na różnych poziomach edukacji jak również w ramach usług rozwojowych dla pracowników.</w:t>
            </w:r>
          </w:p>
        </w:tc>
        <w:tc>
          <w:tcPr>
            <w:tcW w:w="1359" w:type="dxa"/>
          </w:tcPr>
          <w:p w:rsidR="005F1B00" w:rsidRPr="00573206" w:rsidRDefault="005F1B00" w:rsidP="004D086F">
            <w:pPr>
              <w:jc w:val="center"/>
            </w:pPr>
          </w:p>
        </w:tc>
      </w:tr>
      <w:tr w:rsidR="00833DBA" w:rsidRPr="00573206" w:rsidTr="00A06425">
        <w:tc>
          <w:tcPr>
            <w:tcW w:w="562" w:type="dxa"/>
            <w:shd w:val="clear" w:color="auto" w:fill="auto"/>
          </w:tcPr>
          <w:p w:rsidR="00833DBA" w:rsidRPr="00573206" w:rsidRDefault="00D40D11" w:rsidP="00A06425">
            <w:pPr>
              <w:spacing w:before="120" w:after="120"/>
              <w:jc w:val="center"/>
              <w:rPr>
                <w:b/>
              </w:rPr>
            </w:pPr>
            <w:r w:rsidRPr="00573206">
              <w:rPr>
                <w:b/>
              </w:rPr>
              <w:t>11</w:t>
            </w:r>
          </w:p>
        </w:tc>
        <w:tc>
          <w:tcPr>
            <w:tcW w:w="1134" w:type="dxa"/>
            <w:shd w:val="clear" w:color="auto" w:fill="auto"/>
          </w:tcPr>
          <w:p w:rsidR="00833DBA" w:rsidRPr="00573206" w:rsidRDefault="00573206" w:rsidP="004D086F">
            <w:pPr>
              <w:spacing w:before="60" w:after="60"/>
              <w:jc w:val="center"/>
              <w:rPr>
                <w:b/>
              </w:rPr>
            </w:pPr>
            <w:r>
              <w:rPr>
                <w:b/>
              </w:rPr>
              <w:t>MEiN</w:t>
            </w:r>
          </w:p>
        </w:tc>
        <w:tc>
          <w:tcPr>
            <w:tcW w:w="1843" w:type="dxa"/>
            <w:shd w:val="clear" w:color="auto" w:fill="auto"/>
          </w:tcPr>
          <w:p w:rsidR="00833DBA" w:rsidRPr="00573206" w:rsidRDefault="00D6341C" w:rsidP="004D086F">
            <w:pPr>
              <w:jc w:val="center"/>
            </w:pPr>
            <w:r w:rsidRPr="00573206">
              <w:t>Oczekiwane rezultaty (str. 84)</w:t>
            </w:r>
          </w:p>
        </w:tc>
        <w:tc>
          <w:tcPr>
            <w:tcW w:w="4678" w:type="dxa"/>
            <w:shd w:val="clear" w:color="auto" w:fill="auto"/>
          </w:tcPr>
          <w:p w:rsidR="00833DBA" w:rsidRPr="00573206" w:rsidRDefault="00D6341C" w:rsidP="004D086F">
            <w:pPr>
              <w:jc w:val="center"/>
              <w:rPr>
                <w:i/>
              </w:rPr>
            </w:pPr>
            <w:r w:rsidRPr="00573206">
              <w:rPr>
                <w:i/>
              </w:rPr>
              <w:t>zwiększenie zdolności sektora nauki do wytwarzania i oferowania na rynku rozwiązań możliwych do komercjalizacji, w tym dzięki wzrostowi umiędzynarodowienia nauki, wyrażone zwiększeniem udziału polskich organizacji badawczych w programach UE zarządzanych centralnie.</w:t>
            </w:r>
          </w:p>
          <w:p w:rsidR="00D6341C" w:rsidRPr="00573206" w:rsidRDefault="00D6341C" w:rsidP="004D086F">
            <w:pPr>
              <w:jc w:val="center"/>
              <w:rPr>
                <w:i/>
              </w:rPr>
            </w:pPr>
          </w:p>
          <w:p w:rsidR="00D6341C" w:rsidRPr="00573206" w:rsidRDefault="00D6341C" w:rsidP="004D086F">
            <w:pPr>
              <w:jc w:val="center"/>
            </w:pPr>
            <w:r w:rsidRPr="00573206">
              <w:t>Nie wskazano przyjętego wskaźnika, który będzie wykorzystany do mierzenia wzrostu umiędzynarodowienia nauki.</w:t>
            </w:r>
          </w:p>
        </w:tc>
        <w:tc>
          <w:tcPr>
            <w:tcW w:w="5812" w:type="dxa"/>
            <w:shd w:val="clear" w:color="auto" w:fill="auto"/>
          </w:tcPr>
          <w:p w:rsidR="00833DBA" w:rsidRPr="00573206" w:rsidRDefault="00D6341C" w:rsidP="004D086F">
            <w:pPr>
              <w:jc w:val="center"/>
            </w:pPr>
            <w:r w:rsidRPr="00573206">
              <w:t>Prosimy o uzupełnienie wskaźnika, który będzie wykorzystany do mierzenia wzrostu umiędzynarodowienia nauki oraz podanie jego oczekiwanego poziomu.</w:t>
            </w:r>
          </w:p>
        </w:tc>
        <w:tc>
          <w:tcPr>
            <w:tcW w:w="1359" w:type="dxa"/>
          </w:tcPr>
          <w:p w:rsidR="00833DBA" w:rsidRPr="00573206" w:rsidRDefault="00833DBA" w:rsidP="004D086F">
            <w:pPr>
              <w:jc w:val="center"/>
            </w:pPr>
          </w:p>
        </w:tc>
      </w:tr>
      <w:tr w:rsidR="00833DBA" w:rsidRPr="00573206" w:rsidTr="00A06425">
        <w:tc>
          <w:tcPr>
            <w:tcW w:w="562" w:type="dxa"/>
            <w:shd w:val="clear" w:color="auto" w:fill="auto"/>
          </w:tcPr>
          <w:p w:rsidR="00833DBA" w:rsidRPr="00573206" w:rsidRDefault="00D40D11" w:rsidP="00A06425">
            <w:pPr>
              <w:spacing w:before="120" w:after="120"/>
              <w:jc w:val="center"/>
              <w:rPr>
                <w:b/>
              </w:rPr>
            </w:pPr>
            <w:r w:rsidRPr="00573206">
              <w:rPr>
                <w:b/>
              </w:rPr>
              <w:t>12</w:t>
            </w:r>
          </w:p>
        </w:tc>
        <w:tc>
          <w:tcPr>
            <w:tcW w:w="1134" w:type="dxa"/>
            <w:shd w:val="clear" w:color="auto" w:fill="auto"/>
          </w:tcPr>
          <w:p w:rsidR="00833DBA" w:rsidRPr="00573206" w:rsidRDefault="00573206" w:rsidP="004D086F">
            <w:pPr>
              <w:spacing w:before="60" w:after="60"/>
              <w:jc w:val="center"/>
              <w:rPr>
                <w:b/>
              </w:rPr>
            </w:pPr>
            <w:r>
              <w:rPr>
                <w:b/>
              </w:rPr>
              <w:t>MEiN</w:t>
            </w:r>
          </w:p>
        </w:tc>
        <w:tc>
          <w:tcPr>
            <w:tcW w:w="1843" w:type="dxa"/>
            <w:shd w:val="clear" w:color="auto" w:fill="auto"/>
          </w:tcPr>
          <w:p w:rsidR="00833DBA" w:rsidRPr="00573206" w:rsidRDefault="00D6514F" w:rsidP="004D086F">
            <w:pPr>
              <w:jc w:val="center"/>
            </w:pPr>
            <w:r w:rsidRPr="00573206">
              <w:t>Komplementarność Umowy Partnerstwa w zakresie CP1 z Programem Cyfrowa Europa (Digital Europe Programme) (str. 134)</w:t>
            </w:r>
          </w:p>
        </w:tc>
        <w:tc>
          <w:tcPr>
            <w:tcW w:w="4678" w:type="dxa"/>
            <w:shd w:val="clear" w:color="auto" w:fill="auto"/>
          </w:tcPr>
          <w:p w:rsidR="00833DBA" w:rsidRPr="00573206" w:rsidRDefault="00D6514F" w:rsidP="004D086F">
            <w:pPr>
              <w:jc w:val="center"/>
              <w:rPr>
                <w:i/>
              </w:rPr>
            </w:pPr>
            <w:r w:rsidRPr="00573206">
              <w:rPr>
                <w:i/>
              </w:rPr>
              <w:t>Przewiduje się również wspierane rozwoju kompetencji pracowników instytucji sektora publicznego w zakresie wysokich kompetencji cyfrowych…</w:t>
            </w:r>
          </w:p>
          <w:p w:rsidR="00D6514F" w:rsidRPr="00573206" w:rsidRDefault="00D6514F" w:rsidP="004D086F">
            <w:pPr>
              <w:jc w:val="center"/>
              <w:rPr>
                <w:i/>
              </w:rPr>
            </w:pPr>
          </w:p>
          <w:p w:rsidR="00D6514F" w:rsidRPr="00573206" w:rsidRDefault="00D6514F" w:rsidP="004D086F">
            <w:pPr>
              <w:jc w:val="center"/>
            </w:pPr>
            <w:r w:rsidRPr="00573206">
              <w:t>Nie jest jasne, czym w rozumieniu tego dokumentu są „wysokie” kompetencje cyfrowe.</w:t>
            </w:r>
          </w:p>
        </w:tc>
        <w:tc>
          <w:tcPr>
            <w:tcW w:w="5812" w:type="dxa"/>
            <w:shd w:val="clear" w:color="auto" w:fill="auto"/>
          </w:tcPr>
          <w:p w:rsidR="00833DBA" w:rsidRPr="00573206" w:rsidRDefault="00D6514F" w:rsidP="004D086F">
            <w:pPr>
              <w:jc w:val="center"/>
            </w:pPr>
            <w:r w:rsidRPr="00573206">
              <w:t xml:space="preserve">Prosimy o </w:t>
            </w:r>
            <w:r w:rsidR="00823264" w:rsidRPr="00573206">
              <w:t>uzupełnienie</w:t>
            </w:r>
            <w:r w:rsidRPr="00573206">
              <w:t>.</w:t>
            </w:r>
          </w:p>
        </w:tc>
        <w:tc>
          <w:tcPr>
            <w:tcW w:w="1359" w:type="dxa"/>
          </w:tcPr>
          <w:p w:rsidR="00833DBA" w:rsidRPr="00573206" w:rsidRDefault="00833DBA" w:rsidP="004D086F">
            <w:pPr>
              <w:jc w:val="center"/>
            </w:pPr>
          </w:p>
        </w:tc>
      </w:tr>
      <w:tr w:rsidR="00833DBA" w:rsidRPr="00573206" w:rsidTr="00A06425">
        <w:tc>
          <w:tcPr>
            <w:tcW w:w="562" w:type="dxa"/>
            <w:shd w:val="clear" w:color="auto" w:fill="auto"/>
          </w:tcPr>
          <w:p w:rsidR="00833DBA" w:rsidRPr="00573206" w:rsidRDefault="00D40D11" w:rsidP="00A06425">
            <w:pPr>
              <w:spacing w:before="120" w:after="120"/>
              <w:jc w:val="center"/>
              <w:rPr>
                <w:b/>
              </w:rPr>
            </w:pPr>
            <w:r w:rsidRPr="00573206">
              <w:rPr>
                <w:b/>
              </w:rPr>
              <w:t>13</w:t>
            </w:r>
          </w:p>
        </w:tc>
        <w:tc>
          <w:tcPr>
            <w:tcW w:w="1134" w:type="dxa"/>
            <w:shd w:val="clear" w:color="auto" w:fill="auto"/>
          </w:tcPr>
          <w:p w:rsidR="00833DBA" w:rsidRPr="00573206" w:rsidRDefault="00573206" w:rsidP="004D086F">
            <w:pPr>
              <w:spacing w:before="60" w:after="60"/>
              <w:jc w:val="center"/>
              <w:rPr>
                <w:b/>
              </w:rPr>
            </w:pPr>
            <w:r>
              <w:rPr>
                <w:b/>
              </w:rPr>
              <w:t>MEiN</w:t>
            </w:r>
            <w:r w:rsidR="00823264" w:rsidRPr="00573206">
              <w:rPr>
                <w:b/>
              </w:rPr>
              <w:t>)</w:t>
            </w:r>
          </w:p>
        </w:tc>
        <w:tc>
          <w:tcPr>
            <w:tcW w:w="1843" w:type="dxa"/>
            <w:shd w:val="clear" w:color="auto" w:fill="auto"/>
          </w:tcPr>
          <w:p w:rsidR="00833DBA" w:rsidRPr="00573206" w:rsidRDefault="00823264" w:rsidP="004D086F">
            <w:pPr>
              <w:jc w:val="center"/>
            </w:pPr>
            <w:r w:rsidRPr="00573206">
              <w:t>Komplementarność Umowy Partnerstwa w zakresie CP1 z Programem Cyfrowa Europa (Digital Europe Programme) (str. 134)</w:t>
            </w:r>
          </w:p>
        </w:tc>
        <w:tc>
          <w:tcPr>
            <w:tcW w:w="4678" w:type="dxa"/>
            <w:shd w:val="clear" w:color="auto" w:fill="auto"/>
          </w:tcPr>
          <w:p w:rsidR="00833DBA" w:rsidRPr="00573206" w:rsidRDefault="00823264" w:rsidP="004D086F">
            <w:pPr>
              <w:jc w:val="center"/>
              <w:rPr>
                <w:i/>
              </w:rPr>
            </w:pPr>
            <w:r w:rsidRPr="00573206">
              <w:rPr>
                <w:i/>
              </w:rPr>
              <w:t xml:space="preserve">Program Cyfrowa Europa wspiera poprawę umiejętności cyfrowych, szersze zastosowania sztucznej inteligencji i </w:t>
            </w:r>
            <w:r w:rsidRPr="00573206">
              <w:rPr>
                <w:b/>
                <w:i/>
              </w:rPr>
              <w:t>przetwarzanie o wysokiej wydajności</w:t>
            </w:r>
            <w:r w:rsidRPr="00573206">
              <w:rPr>
                <w:i/>
              </w:rPr>
              <w:t xml:space="preserve"> poprzez Europejskie Huby Innowacji Cyfrowych (European Digital Innovation Hubs, EDIHy).</w:t>
            </w:r>
          </w:p>
          <w:p w:rsidR="00823264" w:rsidRPr="00573206" w:rsidRDefault="00823264" w:rsidP="004D086F">
            <w:pPr>
              <w:jc w:val="center"/>
              <w:rPr>
                <w:i/>
              </w:rPr>
            </w:pPr>
          </w:p>
          <w:p w:rsidR="00823264" w:rsidRPr="00573206" w:rsidRDefault="00823264" w:rsidP="00823264">
            <w:pPr>
              <w:pStyle w:val="Akapitzlist"/>
              <w:numPr>
                <w:ilvl w:val="0"/>
                <w:numId w:val="3"/>
              </w:numPr>
              <w:rPr>
                <w:i/>
              </w:rPr>
            </w:pPr>
            <w:r w:rsidRPr="00573206">
              <w:rPr>
                <w:i/>
              </w:rPr>
              <w:t xml:space="preserve">„Przetwarzanie o wysokiej wydajności” to efekt przetłumaczenia terminu „High Performance Computing” z wykorzystaniem automatycznego translatora. Właściwe </w:t>
            </w:r>
            <w:r w:rsidRPr="00573206">
              <w:rPr>
                <w:i/>
              </w:rPr>
              <w:lastRenderedPageBreak/>
              <w:t>tłumaczenie to np. „obliczenia wielkiej skali” (termin stosowany w polskiej wersji Rozporządzenia EuroHPC) lub ew. „obliczenia o wysokiej wydajności”.</w:t>
            </w:r>
          </w:p>
          <w:p w:rsidR="00823264" w:rsidRPr="00573206" w:rsidRDefault="00823264" w:rsidP="00823264">
            <w:pPr>
              <w:pStyle w:val="Akapitzlist"/>
              <w:numPr>
                <w:ilvl w:val="0"/>
                <w:numId w:val="3"/>
              </w:numPr>
              <w:rPr>
                <w:i/>
              </w:rPr>
            </w:pPr>
            <w:r w:rsidRPr="00573206">
              <w:rPr>
                <w:i/>
              </w:rPr>
              <w:t>Tak skonstruowane sprawia wrażenie, ze to EDIHy stosują „przetwarzanie o wysokiej wydajności”, co zdecydowanie nie jest ich rolą.</w:t>
            </w:r>
          </w:p>
        </w:tc>
        <w:tc>
          <w:tcPr>
            <w:tcW w:w="5812" w:type="dxa"/>
            <w:shd w:val="clear" w:color="auto" w:fill="auto"/>
          </w:tcPr>
          <w:p w:rsidR="00833DBA" w:rsidRPr="00573206" w:rsidRDefault="00823264" w:rsidP="004D086F">
            <w:pPr>
              <w:jc w:val="center"/>
            </w:pPr>
            <w:r w:rsidRPr="00573206">
              <w:lastRenderedPageBreak/>
              <w:t xml:space="preserve">Proponujemy przeformułowanie: </w:t>
            </w:r>
          </w:p>
          <w:p w:rsidR="00823264" w:rsidRPr="00573206" w:rsidRDefault="00823264" w:rsidP="00823264">
            <w:pPr>
              <w:jc w:val="center"/>
              <w:rPr>
                <w:i/>
              </w:rPr>
            </w:pPr>
            <w:r w:rsidRPr="00573206">
              <w:rPr>
                <w:i/>
              </w:rPr>
              <w:t xml:space="preserve">Program Cyfrowa Europa wspiera poprawę umiejętności cyfrowych, szersze zastosowania sztucznej inteligencji i </w:t>
            </w:r>
            <w:r w:rsidRPr="00573206">
              <w:rPr>
                <w:i/>
                <w:color w:val="FF0000"/>
              </w:rPr>
              <w:t xml:space="preserve">obliczenia wielkiej skali, wykorzystują w tym celu </w:t>
            </w:r>
            <w:r w:rsidRPr="00573206">
              <w:rPr>
                <w:i/>
              </w:rPr>
              <w:t>Europejskie Huby Innowacji Cyfrowych (European Digital Innovation Hubs, EDIHy).</w:t>
            </w:r>
          </w:p>
        </w:tc>
        <w:tc>
          <w:tcPr>
            <w:tcW w:w="1359" w:type="dxa"/>
          </w:tcPr>
          <w:p w:rsidR="00833DBA" w:rsidRPr="00573206" w:rsidRDefault="00833DBA" w:rsidP="004D086F">
            <w:pPr>
              <w:jc w:val="center"/>
            </w:pPr>
          </w:p>
        </w:tc>
      </w:tr>
      <w:tr w:rsidR="00D821BB" w:rsidRPr="00573206" w:rsidTr="00A06425">
        <w:tc>
          <w:tcPr>
            <w:tcW w:w="562" w:type="dxa"/>
            <w:shd w:val="clear" w:color="auto" w:fill="auto"/>
          </w:tcPr>
          <w:p w:rsidR="00D821BB" w:rsidRPr="00573206" w:rsidRDefault="00D40D11" w:rsidP="00D821BB">
            <w:pPr>
              <w:spacing w:before="120" w:after="120"/>
              <w:jc w:val="center"/>
              <w:rPr>
                <w:b/>
              </w:rPr>
            </w:pPr>
            <w:r w:rsidRPr="00573206">
              <w:rPr>
                <w:b/>
              </w:rPr>
              <w:t>14</w:t>
            </w:r>
          </w:p>
        </w:tc>
        <w:tc>
          <w:tcPr>
            <w:tcW w:w="1134" w:type="dxa"/>
            <w:shd w:val="clear" w:color="auto" w:fill="auto"/>
          </w:tcPr>
          <w:p w:rsidR="00D821BB" w:rsidRPr="00573206" w:rsidRDefault="00573206" w:rsidP="00D821BB">
            <w:pPr>
              <w:spacing w:before="60" w:after="60"/>
              <w:jc w:val="center"/>
              <w:rPr>
                <w:b/>
              </w:rPr>
            </w:pPr>
            <w:r>
              <w:rPr>
                <w:b/>
              </w:rPr>
              <w:t>MEiN</w:t>
            </w:r>
          </w:p>
        </w:tc>
        <w:tc>
          <w:tcPr>
            <w:tcW w:w="1843" w:type="dxa"/>
            <w:shd w:val="clear" w:color="auto" w:fill="auto"/>
          </w:tcPr>
          <w:p w:rsidR="00D821BB" w:rsidRPr="00573206" w:rsidRDefault="00D821BB" w:rsidP="00D821BB">
            <w:pPr>
              <w:jc w:val="center"/>
            </w:pPr>
            <w:r w:rsidRPr="00573206">
              <w:t>Komplementarność Umowy Partnerstwa w zakresie CP1 z Programem Cyfrowa Europa (Digital Europe Programme) (str. 134)</w:t>
            </w:r>
          </w:p>
        </w:tc>
        <w:tc>
          <w:tcPr>
            <w:tcW w:w="4678" w:type="dxa"/>
            <w:shd w:val="clear" w:color="auto" w:fill="auto"/>
          </w:tcPr>
          <w:p w:rsidR="00D821BB" w:rsidRPr="00573206" w:rsidRDefault="00D821BB" w:rsidP="00D821BB">
            <w:pPr>
              <w:jc w:val="center"/>
            </w:pPr>
            <w:r w:rsidRPr="00573206">
              <w:t>Ponadto zakłada się wsparcie DIH dla sektora publicznego – podmiotu, który zostanie wyłoniony i dofinansowany jako EDIH i będzie komplementarny do działań prowadzonych przez KE w ramach DEP…</w:t>
            </w:r>
          </w:p>
          <w:p w:rsidR="00D821BB" w:rsidRPr="00573206" w:rsidRDefault="00D821BB" w:rsidP="00D821BB">
            <w:pPr>
              <w:jc w:val="center"/>
            </w:pPr>
          </w:p>
          <w:p w:rsidR="00D821BB" w:rsidRPr="00573206" w:rsidRDefault="00D821BB" w:rsidP="00D821BB">
            <w:pPr>
              <w:jc w:val="center"/>
            </w:pPr>
            <w:r w:rsidRPr="00573206">
              <w:t>Czy należy rozumieć, że to sam podmiot będzie komplementarny z działaniami DEP? Mowa chyba o jego aktywności.</w:t>
            </w:r>
          </w:p>
        </w:tc>
        <w:tc>
          <w:tcPr>
            <w:tcW w:w="5812" w:type="dxa"/>
            <w:shd w:val="clear" w:color="auto" w:fill="auto"/>
          </w:tcPr>
          <w:p w:rsidR="00D821BB" w:rsidRPr="00573206" w:rsidRDefault="00D821BB" w:rsidP="00D821BB">
            <w:pPr>
              <w:jc w:val="center"/>
            </w:pPr>
            <w:r w:rsidRPr="00573206">
              <w:t>Proponujemy zmianę zapisu:</w:t>
            </w:r>
          </w:p>
          <w:p w:rsidR="00D821BB" w:rsidRPr="00573206" w:rsidRDefault="00D821BB" w:rsidP="00D821BB">
            <w:pPr>
              <w:jc w:val="center"/>
              <w:rPr>
                <w:i/>
              </w:rPr>
            </w:pPr>
            <w:r w:rsidRPr="00573206">
              <w:rPr>
                <w:i/>
              </w:rPr>
              <w:t>Ponadto zakłada się wsparcie DIH dla sektora publicznego – podmiotu, który zostanie wyłoniony i dofinansowany jako EDIH</w:t>
            </w:r>
            <w:r w:rsidRPr="00573206">
              <w:rPr>
                <w:i/>
                <w:color w:val="FF0000"/>
              </w:rPr>
              <w:t xml:space="preserve">, a jego aktywność będzie komplementarna </w:t>
            </w:r>
            <w:r w:rsidRPr="00573206">
              <w:rPr>
                <w:i/>
              </w:rPr>
              <w:t>do działań prowadzonych przez KE w ramach DEP…</w:t>
            </w:r>
          </w:p>
          <w:p w:rsidR="00D821BB" w:rsidRPr="00573206" w:rsidRDefault="00D821BB" w:rsidP="00D821BB">
            <w:pPr>
              <w:jc w:val="center"/>
            </w:pPr>
          </w:p>
        </w:tc>
        <w:tc>
          <w:tcPr>
            <w:tcW w:w="1359" w:type="dxa"/>
          </w:tcPr>
          <w:p w:rsidR="00D821BB" w:rsidRPr="00573206" w:rsidRDefault="00D821BB" w:rsidP="00D821BB">
            <w:pPr>
              <w:jc w:val="center"/>
            </w:pPr>
          </w:p>
        </w:tc>
      </w:tr>
      <w:tr w:rsidR="004B0196" w:rsidRPr="00573206" w:rsidTr="00A06425">
        <w:tc>
          <w:tcPr>
            <w:tcW w:w="562" w:type="dxa"/>
            <w:shd w:val="clear" w:color="auto" w:fill="auto"/>
          </w:tcPr>
          <w:p w:rsidR="004B0196" w:rsidRPr="00573206" w:rsidRDefault="004B0196" w:rsidP="004B0196">
            <w:pPr>
              <w:spacing w:before="120" w:after="120"/>
              <w:jc w:val="center"/>
              <w:rPr>
                <w:b/>
              </w:rPr>
            </w:pPr>
            <w:r w:rsidRPr="00573206">
              <w:rPr>
                <w:b/>
              </w:rPr>
              <w:t>15</w:t>
            </w:r>
          </w:p>
        </w:tc>
        <w:tc>
          <w:tcPr>
            <w:tcW w:w="1134" w:type="dxa"/>
            <w:shd w:val="clear" w:color="auto" w:fill="auto"/>
          </w:tcPr>
          <w:p w:rsidR="004B0196" w:rsidRPr="00573206" w:rsidRDefault="00573206" w:rsidP="004B0196">
            <w:pPr>
              <w:spacing w:before="60" w:after="60"/>
              <w:jc w:val="center"/>
              <w:rPr>
                <w:b/>
              </w:rPr>
            </w:pPr>
            <w:r>
              <w:rPr>
                <w:b/>
              </w:rPr>
              <w:t>MEiN</w:t>
            </w:r>
          </w:p>
        </w:tc>
        <w:tc>
          <w:tcPr>
            <w:tcW w:w="1843" w:type="dxa"/>
            <w:shd w:val="clear" w:color="auto" w:fill="auto"/>
          </w:tcPr>
          <w:p w:rsidR="004B0196" w:rsidRPr="00573206" w:rsidRDefault="004B0196" w:rsidP="004B0196">
            <w:pPr>
              <w:jc w:val="center"/>
            </w:pPr>
            <w:r w:rsidRPr="00573206">
              <w:t>WYBRANE KIERUNKI POLITYKI, KOORDYNACJA I KOMPLEMENTARNOŚĆ,</w:t>
            </w:r>
          </w:p>
          <w:p w:rsidR="004B0196" w:rsidRPr="00573206" w:rsidRDefault="004B0196" w:rsidP="004B0196">
            <w:pPr>
              <w:jc w:val="center"/>
            </w:pPr>
            <w:r w:rsidRPr="00573206">
              <w:t>obszar edukacja i kompetencje Str. 105</w:t>
            </w:r>
          </w:p>
        </w:tc>
        <w:tc>
          <w:tcPr>
            <w:tcW w:w="4678" w:type="dxa"/>
            <w:shd w:val="clear" w:color="auto" w:fill="auto"/>
          </w:tcPr>
          <w:p w:rsidR="004B0196" w:rsidRPr="00573206" w:rsidRDefault="004B0196" w:rsidP="004B0196">
            <w:r w:rsidRPr="00573206">
              <w:t xml:space="preserve">Prośba o dodanie działań jako oddzielne punkty. Dodane działania są konsekwencją kierunków wsparcia, o których mowa na zapisu ze str. 50: „Planowane jest również stworzenie rozwiązań wspierających kształcenie zawodowe dostosowane do zróżnicowania potrzeb edukacyjnych i rozwojowych osób uczących się, w tym wynikających z niepełnosprawności. </w:t>
            </w:r>
            <w:r w:rsidRPr="00573206">
              <w:rPr>
                <w:rFonts w:eastAsia="Calibri"/>
              </w:rPr>
              <w:t xml:space="preserve">Istotna staje się także </w:t>
            </w:r>
            <w:r w:rsidRPr="00573206">
              <w:rPr>
                <w:rFonts w:eastAsia="Calibri"/>
                <w:shd w:val="clear" w:color="auto" w:fill="FFFFFF" w:themeFill="background1"/>
              </w:rPr>
              <w:t>praca na rzecz zmiany wizerunku szkół prowadzących kształcenie zawodowe, która powinna znacząco wpłynąć na ich postrzeganie” oraz str. 51: „Powstały kapitał wiedzy i doświadczenia</w:t>
            </w:r>
            <w:r w:rsidRPr="00573206">
              <w:rPr>
                <w:rFonts w:eastAsia="Calibri"/>
              </w:rPr>
              <w:t xml:space="preserve"> należy trak</w:t>
            </w:r>
            <w:r w:rsidRPr="00573206">
              <w:rPr>
                <w:rFonts w:eastAsia="Calibri"/>
              </w:rPr>
              <w:softHyphen/>
              <w:t>tować jako niezbędny punkt wyjścia i fundament dla dalszego rozwoju ZSK. System jest nadal zbyt słabo upowszechniony i rozwija się powoli.</w:t>
            </w:r>
            <w:r w:rsidRPr="00573206">
              <w:rPr>
                <w:rFonts w:eastAsia="Calibri"/>
                <w:vertAlign w:val="superscript"/>
              </w:rPr>
              <w:t xml:space="preserve"> </w:t>
            </w:r>
            <w:r w:rsidRPr="00573206">
              <w:rPr>
                <w:rFonts w:eastAsia="Calibri"/>
              </w:rPr>
              <w:t xml:space="preserve">Wykorzystanie ZSK wśród pracodawców, pracowników, osób </w:t>
            </w:r>
            <w:r w:rsidRPr="00573206">
              <w:rPr>
                <w:rFonts w:eastAsia="Calibri"/>
              </w:rPr>
              <w:lastRenderedPageBreak/>
              <w:t>uczących się w  dalszym ciągu pozostaje ograniczone”.</w:t>
            </w:r>
          </w:p>
        </w:tc>
        <w:tc>
          <w:tcPr>
            <w:tcW w:w="5812" w:type="dxa"/>
            <w:shd w:val="clear" w:color="auto" w:fill="auto"/>
          </w:tcPr>
          <w:p w:rsidR="004B0196" w:rsidRPr="00573206" w:rsidRDefault="004B0196" w:rsidP="004B0196">
            <w:pPr>
              <w:pStyle w:val="Akapitzlist"/>
              <w:ind w:left="360"/>
            </w:pPr>
            <w:r w:rsidRPr="00573206">
              <w:lastRenderedPageBreak/>
              <w:t>Prośba o dodanie poniższych punktów na str. 105 Um. Parnerstwa (po punkcie: „wzmocnienia szkolnictwa branżowego, w szczególności w zakresie współpracy z pracodawcami i upowszechnienia kształcenia w miejscu pracy poprzez m.in. system płatnych staży, patronatów, szkoleń dopasowanych do potrzeb danego pracodawcy”):</w:t>
            </w:r>
          </w:p>
          <w:p w:rsidR="004B0196" w:rsidRPr="00573206" w:rsidRDefault="004B0196" w:rsidP="004B0196">
            <w:pPr>
              <w:pStyle w:val="Akapitzlist"/>
              <w:numPr>
                <w:ilvl w:val="0"/>
                <w:numId w:val="4"/>
              </w:numPr>
              <w:ind w:left="360"/>
            </w:pPr>
            <w:r w:rsidRPr="00573206">
              <w:t>promocji oferty szkolnictwa branżowego,</w:t>
            </w:r>
          </w:p>
          <w:p w:rsidR="004B0196" w:rsidRPr="00573206" w:rsidRDefault="004B0196" w:rsidP="004B0196">
            <w:pPr>
              <w:pStyle w:val="Akapitzlist"/>
              <w:numPr>
                <w:ilvl w:val="0"/>
                <w:numId w:val="4"/>
              </w:numPr>
              <w:ind w:left="360"/>
            </w:pPr>
            <w:r w:rsidRPr="00573206">
              <w:t>wsparcia analityczno-rozwojowego dla  kształcenia zawodowego,</w:t>
            </w:r>
          </w:p>
          <w:p w:rsidR="004B0196" w:rsidRPr="00573206" w:rsidRDefault="004B0196" w:rsidP="004B0196">
            <w:pPr>
              <w:pStyle w:val="Akapitzlist"/>
              <w:numPr>
                <w:ilvl w:val="0"/>
                <w:numId w:val="4"/>
              </w:numPr>
              <w:ind w:left="360"/>
            </w:pPr>
            <w:r w:rsidRPr="00573206">
              <w:t>rozwoju Zintegrowanego Systemu Kwalifikacji,</w:t>
            </w:r>
          </w:p>
          <w:p w:rsidR="004B0196" w:rsidRPr="00573206" w:rsidRDefault="004B0196" w:rsidP="004B0196">
            <w:pPr>
              <w:pStyle w:val="Akapitzlist"/>
              <w:numPr>
                <w:ilvl w:val="0"/>
                <w:numId w:val="4"/>
              </w:numPr>
              <w:ind w:left="360"/>
            </w:pPr>
            <w:r w:rsidRPr="00573206">
              <w:t>wzmocnienia koordynacji wdrażania ZSU 2030,</w:t>
            </w:r>
          </w:p>
        </w:tc>
        <w:tc>
          <w:tcPr>
            <w:tcW w:w="1359" w:type="dxa"/>
          </w:tcPr>
          <w:p w:rsidR="004B0196" w:rsidRPr="00573206" w:rsidRDefault="004B0196" w:rsidP="004B0196">
            <w:pPr>
              <w:jc w:val="center"/>
            </w:pPr>
          </w:p>
        </w:tc>
      </w:tr>
      <w:tr w:rsidR="00D26DE7" w:rsidRPr="00573206" w:rsidTr="00A06425">
        <w:tc>
          <w:tcPr>
            <w:tcW w:w="562" w:type="dxa"/>
            <w:shd w:val="clear" w:color="auto" w:fill="auto"/>
          </w:tcPr>
          <w:p w:rsidR="00D26DE7" w:rsidRPr="00573206" w:rsidRDefault="00D26DE7" w:rsidP="00D26DE7">
            <w:pPr>
              <w:rPr>
                <w:rFonts w:eastAsia="Calibri"/>
                <w:b/>
              </w:rPr>
            </w:pPr>
            <w:r w:rsidRPr="00573206">
              <w:rPr>
                <w:rFonts w:eastAsia="Calibri"/>
                <w:b/>
              </w:rPr>
              <w:t>16</w:t>
            </w:r>
          </w:p>
        </w:tc>
        <w:tc>
          <w:tcPr>
            <w:tcW w:w="1134" w:type="dxa"/>
            <w:shd w:val="clear" w:color="auto" w:fill="auto"/>
          </w:tcPr>
          <w:p w:rsidR="00D26DE7" w:rsidRPr="00573206" w:rsidRDefault="00573206" w:rsidP="00D26DE7">
            <w:pPr>
              <w:rPr>
                <w:rFonts w:eastAsia="Calibri"/>
                <w:b/>
              </w:rPr>
            </w:pPr>
            <w:r>
              <w:rPr>
                <w:b/>
              </w:rPr>
              <w:t>MEiN</w:t>
            </w:r>
          </w:p>
        </w:tc>
        <w:tc>
          <w:tcPr>
            <w:tcW w:w="1843" w:type="dxa"/>
            <w:shd w:val="clear" w:color="auto" w:fill="auto"/>
          </w:tcPr>
          <w:p w:rsidR="00D26DE7" w:rsidRPr="00573206" w:rsidRDefault="00D26DE7" w:rsidP="00D26DE7">
            <w:pPr>
              <w:rPr>
                <w:rFonts w:eastAsia="Calibri"/>
              </w:rPr>
            </w:pPr>
            <w:r w:rsidRPr="00573206">
              <w:rPr>
                <w:rFonts w:eastAsia="Calibri"/>
              </w:rPr>
              <w:t>1.1. Cel „Bardziej konkurencyjna i inteligentna Europa dzięki promowaniu innowacyjnej i inteligentnej transformacji gospodarczej” (CP1) str. 12</w:t>
            </w:r>
          </w:p>
        </w:tc>
        <w:tc>
          <w:tcPr>
            <w:tcW w:w="4678" w:type="dxa"/>
            <w:shd w:val="clear" w:color="auto" w:fill="auto"/>
          </w:tcPr>
          <w:p w:rsidR="00D26DE7" w:rsidRPr="00573206" w:rsidRDefault="00D26DE7" w:rsidP="00D26DE7">
            <w:pPr>
              <w:rPr>
                <w:rFonts w:eastAsia="Calibri"/>
              </w:rPr>
            </w:pPr>
            <w:r w:rsidRPr="00573206">
              <w:rPr>
                <w:rFonts w:eastAsia="Calibri"/>
              </w:rPr>
              <w:t>Proponuje się uzupełnienie zapisu o kwestie gospodarki odpadami (gospodarka odpadami to pojęcie szersze niż GOZ, ma ona też ścisły związek z biogospodarką, o której mowa dalej w tym akapicie). Uzasadnienie: W świetle ambitnych celów jakie wyznaczają Polsce przepisy unijne, odpady powinny być przede wszystkim traktowane jako surowce wtórne. To z kolei wymaga, aby odpady były zbierane selektywnie i były dobrej jakości. Dlatego też segregacja odpadów u źródła stanowi fundamentalny element dalszego efektywnego przetwarzania odpadów jako surowców. Natomiast zagospodarowanie jak największej ilości odpadów komunalnych powinno odbywać się poprzez technologie recyklingu</w:t>
            </w:r>
          </w:p>
        </w:tc>
        <w:tc>
          <w:tcPr>
            <w:tcW w:w="5812" w:type="dxa"/>
            <w:shd w:val="clear" w:color="auto" w:fill="auto"/>
          </w:tcPr>
          <w:p w:rsidR="00D26DE7" w:rsidRPr="00573206" w:rsidRDefault="00D26DE7" w:rsidP="00D26DE7">
            <w:pPr>
              <w:rPr>
                <w:rFonts w:eastAsia="Calibri"/>
              </w:rPr>
            </w:pPr>
            <w:r w:rsidRPr="00573206">
              <w:rPr>
                <w:rFonts w:eastAsia="Calibri"/>
              </w:rPr>
              <w:t>Po zdaniu „Wzrostowi produktywności gospodarki służy także transformacja w kierunku GOZ. Wymaga ona innowacyjnego podejścia i rozwoju nowoczesnych technologii szczególnie w zakresie wykorzystania surowców wtórnych, od etapu projektowania produktów i usług dla minimalizacji zużycia surowców i energii i wydłużenia ich życia, po zagospodarowanie odpadów tam, gdzie nie jest możliwe uniknięcie ich powstawania”, proponujemy dopisać</w:t>
            </w:r>
            <w:r w:rsidR="00FE0757" w:rsidRPr="00573206">
              <w:rPr>
                <w:rFonts w:eastAsia="Calibri"/>
              </w:rPr>
              <w:t xml:space="preserve"> zdanie</w:t>
            </w:r>
            <w:r w:rsidRPr="00573206">
              <w:rPr>
                <w:rFonts w:eastAsia="Calibri"/>
              </w:rPr>
              <w:t>: „</w:t>
            </w:r>
            <w:r w:rsidRPr="00573206">
              <w:rPr>
                <w:rFonts w:eastAsia="Calibri"/>
                <w:color w:val="FF0000"/>
              </w:rPr>
              <w:t>Wyzwaniem dla kraju pozostają kwestie dotyczące rozwoju infrastruktury służącej zapobieganiu powstawaniu odpadów, rozwoju systemu selektywnego zbierania odpadów komunalnych, który zapewni pozyskanie odpadów nadających się do recyklingu oraz rozwoju instalacji do przetwarzania bioodpadów.</w:t>
            </w:r>
            <w:r w:rsidRPr="00573206">
              <w:rPr>
                <w:rFonts w:eastAsia="Calibri"/>
              </w:rPr>
              <w:t xml:space="preserve">” </w:t>
            </w:r>
          </w:p>
        </w:tc>
        <w:tc>
          <w:tcPr>
            <w:tcW w:w="1359" w:type="dxa"/>
          </w:tcPr>
          <w:p w:rsidR="00D26DE7" w:rsidRPr="00573206" w:rsidRDefault="00D26DE7" w:rsidP="00D26DE7">
            <w:pPr>
              <w:jc w:val="center"/>
            </w:pPr>
          </w:p>
        </w:tc>
      </w:tr>
      <w:tr w:rsidR="00D26DE7" w:rsidRPr="00573206" w:rsidTr="00A06425">
        <w:tc>
          <w:tcPr>
            <w:tcW w:w="562" w:type="dxa"/>
            <w:shd w:val="clear" w:color="auto" w:fill="auto"/>
          </w:tcPr>
          <w:p w:rsidR="00D26DE7" w:rsidRPr="00573206" w:rsidRDefault="00D26DE7" w:rsidP="00D26DE7">
            <w:pPr>
              <w:rPr>
                <w:rFonts w:eastAsia="Calibri"/>
                <w:b/>
              </w:rPr>
            </w:pPr>
            <w:r w:rsidRPr="00573206">
              <w:rPr>
                <w:rFonts w:eastAsia="Calibri"/>
                <w:b/>
              </w:rPr>
              <w:t>17</w:t>
            </w:r>
          </w:p>
        </w:tc>
        <w:tc>
          <w:tcPr>
            <w:tcW w:w="1134" w:type="dxa"/>
            <w:shd w:val="clear" w:color="auto" w:fill="auto"/>
          </w:tcPr>
          <w:p w:rsidR="00D26DE7" w:rsidRPr="00573206" w:rsidRDefault="00573206" w:rsidP="00D26DE7">
            <w:pPr>
              <w:rPr>
                <w:rFonts w:eastAsia="Calibri"/>
                <w:b/>
              </w:rPr>
            </w:pPr>
            <w:r>
              <w:rPr>
                <w:b/>
              </w:rPr>
              <w:t>MEiN</w:t>
            </w:r>
          </w:p>
        </w:tc>
        <w:tc>
          <w:tcPr>
            <w:tcW w:w="1843" w:type="dxa"/>
            <w:shd w:val="clear" w:color="auto" w:fill="auto"/>
          </w:tcPr>
          <w:p w:rsidR="00D26DE7" w:rsidRPr="00573206" w:rsidRDefault="00D26DE7" w:rsidP="00D26DE7">
            <w:pPr>
              <w:rPr>
                <w:rFonts w:eastAsia="Calibri"/>
              </w:rPr>
            </w:pPr>
            <w:r w:rsidRPr="00573206">
              <w:rPr>
                <w:rFonts w:eastAsia="Calibri"/>
              </w:rPr>
              <w:t>1.1. Cel „Bardziej konkurencyjna i inteligentna Europa dzięki promowaniu innowacyjnej i inteligentnej transformacji gospodarczej” (CP1) str. 12</w:t>
            </w:r>
          </w:p>
        </w:tc>
        <w:tc>
          <w:tcPr>
            <w:tcW w:w="4678" w:type="dxa"/>
            <w:shd w:val="clear" w:color="auto" w:fill="auto"/>
          </w:tcPr>
          <w:p w:rsidR="00D26DE7" w:rsidRPr="00573206" w:rsidRDefault="00D26DE7" w:rsidP="00D26DE7">
            <w:pPr>
              <w:rPr>
                <w:rFonts w:eastAsia="Calibri"/>
              </w:rPr>
            </w:pPr>
            <w:r w:rsidRPr="00573206">
              <w:rPr>
                <w:rFonts w:eastAsia="Calibri"/>
              </w:rPr>
              <w:t xml:space="preserve">Proponuje się uzupełnienie zapisu o </w:t>
            </w:r>
            <w:r w:rsidR="00FE0757" w:rsidRPr="00573206">
              <w:rPr>
                <w:rFonts w:eastAsia="Calibri"/>
              </w:rPr>
              <w:t xml:space="preserve">rozwój </w:t>
            </w:r>
            <w:r w:rsidRPr="00573206">
              <w:rPr>
                <w:rFonts w:eastAsia="Calibri"/>
              </w:rPr>
              <w:t>bioprzemysłu. Uzasadnienie: Bioprzemysł (</w:t>
            </w:r>
            <w:r w:rsidRPr="00573206">
              <w:rPr>
                <w:rFonts w:eastAsia="Calibri"/>
                <w:i/>
              </w:rPr>
              <w:t>biobased sector</w:t>
            </w:r>
            <w:r w:rsidRPr="00573206">
              <w:rPr>
                <w:rFonts w:eastAsia="Calibri"/>
              </w:rPr>
              <w:t xml:space="preserve">) jest sektorem silnie rozwijającym się łączącym wzajemnie połączone łańcuchy wartości. Jego celem jest przekształcenie odnawialnych surowców biologicznych (takich jak produkty uboczne rolnictwa, pozostałości leśne, odpady organiczne i biomasa wodna) w biochemiczne substancje chemiczne, materiały, produkty i energię, zastępując ich wersje oparte na paliwach kopalnych. Sektor ten, zapewniający 3,6 mln miejsc pracy i około 700 mld euro obrotu w UE, ma kluczowe znaczenie dla zielonej gospodarki. Odgrywa kluczową rolę w zmniejszaniu zależności Europy od importu strategicznych surowców, pobudzając zrównoważony wzrost i zwiększając konkurencyjność Europy poprzez </w:t>
            </w:r>
            <w:r w:rsidRPr="00573206">
              <w:rPr>
                <w:rFonts w:eastAsia="Calibri"/>
              </w:rPr>
              <w:lastRenderedPageBreak/>
              <w:t>przyczynianie się do rewitalizacji obszarów wiejskich i przybrzeżnych. Kluczowe dla rozwoju tego sektora jest ustanowienie polskiej strategii ds. biogospodarki</w:t>
            </w:r>
          </w:p>
        </w:tc>
        <w:tc>
          <w:tcPr>
            <w:tcW w:w="5812" w:type="dxa"/>
            <w:shd w:val="clear" w:color="auto" w:fill="auto"/>
          </w:tcPr>
          <w:p w:rsidR="00D26DE7" w:rsidRPr="00573206" w:rsidRDefault="00D26DE7" w:rsidP="00D26DE7">
            <w:pPr>
              <w:rPr>
                <w:rFonts w:eastAsia="Calibri"/>
              </w:rPr>
            </w:pPr>
            <w:r w:rsidRPr="00573206">
              <w:rPr>
                <w:rFonts w:eastAsia="Calibri"/>
              </w:rPr>
              <w:lastRenderedPageBreak/>
              <w:t xml:space="preserve">Bardzo ważny w polskich uwarunkowaniach jest rozwój biogospodarki, </w:t>
            </w:r>
            <w:r w:rsidRPr="00573206">
              <w:rPr>
                <w:rFonts w:eastAsia="Calibri"/>
                <w:color w:val="FF0000"/>
              </w:rPr>
              <w:t>bioprzemysłu</w:t>
            </w:r>
            <w:r w:rsidRPr="00573206">
              <w:rPr>
                <w:rFonts w:eastAsia="Calibri"/>
              </w:rPr>
              <w:t>, nowych modeli biznesowych w zakresie gospodarki o obiegu zamkniętym, zmiana zachowań konsumenckich.</w:t>
            </w:r>
          </w:p>
        </w:tc>
        <w:tc>
          <w:tcPr>
            <w:tcW w:w="1359" w:type="dxa"/>
          </w:tcPr>
          <w:p w:rsidR="00D26DE7" w:rsidRPr="00573206" w:rsidRDefault="00D26DE7" w:rsidP="00D26DE7">
            <w:pPr>
              <w:jc w:val="center"/>
            </w:pPr>
          </w:p>
        </w:tc>
      </w:tr>
      <w:tr w:rsidR="00FE0757" w:rsidRPr="00573206" w:rsidTr="00A06425">
        <w:tc>
          <w:tcPr>
            <w:tcW w:w="562" w:type="dxa"/>
            <w:shd w:val="clear" w:color="auto" w:fill="auto"/>
          </w:tcPr>
          <w:p w:rsidR="00FE0757" w:rsidRPr="00573206" w:rsidRDefault="00FE0757" w:rsidP="00D26DE7">
            <w:pPr>
              <w:rPr>
                <w:rFonts w:eastAsia="Calibri"/>
                <w:b/>
              </w:rPr>
            </w:pPr>
            <w:r w:rsidRPr="00573206">
              <w:rPr>
                <w:rFonts w:eastAsia="Calibri"/>
                <w:b/>
              </w:rPr>
              <w:t>18</w:t>
            </w:r>
          </w:p>
        </w:tc>
        <w:tc>
          <w:tcPr>
            <w:tcW w:w="1134" w:type="dxa"/>
            <w:shd w:val="clear" w:color="auto" w:fill="auto"/>
          </w:tcPr>
          <w:p w:rsidR="00FE0757" w:rsidRPr="00573206" w:rsidRDefault="00573206" w:rsidP="00D26DE7">
            <w:pPr>
              <w:rPr>
                <w:rFonts w:eastAsia="Calibri"/>
                <w:b/>
              </w:rPr>
            </w:pPr>
            <w:r>
              <w:rPr>
                <w:b/>
              </w:rPr>
              <w:t>MEiN</w:t>
            </w:r>
          </w:p>
        </w:tc>
        <w:tc>
          <w:tcPr>
            <w:tcW w:w="1843" w:type="dxa"/>
            <w:shd w:val="clear" w:color="auto" w:fill="auto"/>
          </w:tcPr>
          <w:p w:rsidR="00FE0757" w:rsidRPr="00573206" w:rsidRDefault="00FE0757" w:rsidP="00D26DE7">
            <w:pPr>
              <w:rPr>
                <w:rFonts w:eastAsia="Calibri"/>
              </w:rPr>
            </w:pPr>
            <w:r w:rsidRPr="00573206">
              <w:rPr>
                <w:rFonts w:eastAsia="Calibri"/>
              </w:rPr>
              <w:t>1.1. Cel „Bardziej konkurencyjna i inteligentna Europa dzięki promowaniu innowacyjnej i inteligentnej transformacji gospodarczej” (CP1) str. 12</w:t>
            </w:r>
          </w:p>
        </w:tc>
        <w:tc>
          <w:tcPr>
            <w:tcW w:w="4678" w:type="dxa"/>
            <w:shd w:val="clear" w:color="auto" w:fill="auto"/>
          </w:tcPr>
          <w:p w:rsidR="00FE0757" w:rsidRPr="00573206" w:rsidRDefault="00FE0757" w:rsidP="00D26DE7">
            <w:pPr>
              <w:rPr>
                <w:rFonts w:eastAsia="Calibri"/>
              </w:rPr>
            </w:pPr>
            <w:r w:rsidRPr="00573206">
              <w:rPr>
                <w:rFonts w:eastAsia="Calibri"/>
              </w:rPr>
              <w:t>Proponuje się uzupełnienie zapisu o odwołanie do Strategii kierunkowych UE, kto re wyznaczają cele w zakresie biogospodarki oraz GOZ</w:t>
            </w:r>
          </w:p>
        </w:tc>
        <w:tc>
          <w:tcPr>
            <w:tcW w:w="5812" w:type="dxa"/>
            <w:shd w:val="clear" w:color="auto" w:fill="auto"/>
          </w:tcPr>
          <w:p w:rsidR="00FE0757" w:rsidRPr="00573206" w:rsidRDefault="00FE0757" w:rsidP="00FE0757">
            <w:pPr>
              <w:rPr>
                <w:rFonts w:eastAsia="Calibri"/>
              </w:rPr>
            </w:pPr>
            <w:r w:rsidRPr="00573206">
              <w:rPr>
                <w:rFonts w:eastAsia="Calibri"/>
              </w:rPr>
              <w:t>Po zdaniu: „Powyższe wyzwania wynikają bezpośrednio z Mapy Drogowej Transformacji w kierunku gospodarki o obiegu zamkniętym, a także wpisują się w realizację Europejskiego Zielonego Ładu, zakładającego inwestowanie w technologie przyjazne środowisku oraz wspieranie innowacji w przemyśle” proponujemy dopisać zdanie: „</w:t>
            </w:r>
            <w:r w:rsidRPr="00573206">
              <w:rPr>
                <w:rFonts w:eastAsia="Calibri"/>
                <w:color w:val="FF0000"/>
              </w:rPr>
              <w:t>Na poziomie UE cele w tym obszarze wskazują strategie: zaktualizowana Strategia Biogospodarki z 2018 r. (</w:t>
            </w:r>
            <w:r w:rsidRPr="00573206">
              <w:rPr>
                <w:rFonts w:eastAsia="Calibri"/>
                <w:i/>
                <w:color w:val="FF0000"/>
              </w:rPr>
              <w:t>updated Bioeconomy Strategy</w:t>
            </w:r>
            <w:r w:rsidRPr="00573206">
              <w:rPr>
                <w:rFonts w:eastAsia="Calibri"/>
                <w:color w:val="FF0000"/>
              </w:rPr>
              <w:t>, COM(2018) 673 final), Nowy plan działania UE dotyczący gospodarki o obiegu zamkniętym na rzecz czystszej i bardziej konkurencyjnej Europy (</w:t>
            </w:r>
            <w:r w:rsidRPr="00573206">
              <w:rPr>
                <w:rFonts w:eastAsia="Calibri"/>
                <w:i/>
                <w:color w:val="FF0000"/>
              </w:rPr>
              <w:t>Circular Economy Action Plan</w:t>
            </w:r>
            <w:r w:rsidRPr="00573206">
              <w:rPr>
                <w:rFonts w:eastAsia="Calibri"/>
                <w:color w:val="FF0000"/>
              </w:rPr>
              <w:t>, COM(2020) 98) i Strategia UE na rzecz różnorodności biologicznej do 2030 r. (</w:t>
            </w:r>
            <w:r w:rsidRPr="00573206">
              <w:rPr>
                <w:rFonts w:eastAsia="Calibri"/>
                <w:i/>
                <w:color w:val="FF0000"/>
              </w:rPr>
              <w:t>EU Biodiversity Strategy for 2030</w:t>
            </w:r>
            <w:r w:rsidRPr="00573206">
              <w:rPr>
                <w:rFonts w:eastAsia="Calibri"/>
                <w:color w:val="FF0000"/>
              </w:rPr>
              <w:t>, COM (2020) 380)</w:t>
            </w:r>
            <w:r w:rsidR="00833C3E" w:rsidRPr="00573206">
              <w:rPr>
                <w:rFonts w:eastAsia="Calibri"/>
                <w:color w:val="FF0000"/>
              </w:rPr>
              <w:t>.</w:t>
            </w:r>
            <w:r w:rsidRPr="00573206">
              <w:rPr>
                <w:rFonts w:eastAsia="Calibri"/>
              </w:rPr>
              <w:t>”</w:t>
            </w:r>
          </w:p>
        </w:tc>
        <w:tc>
          <w:tcPr>
            <w:tcW w:w="1359" w:type="dxa"/>
          </w:tcPr>
          <w:p w:rsidR="00FE0757" w:rsidRPr="00573206" w:rsidRDefault="00FE0757" w:rsidP="00D26DE7">
            <w:pPr>
              <w:jc w:val="center"/>
            </w:pPr>
          </w:p>
        </w:tc>
      </w:tr>
      <w:tr w:rsidR="00B803C1" w:rsidRPr="00573206" w:rsidTr="00A06425">
        <w:tc>
          <w:tcPr>
            <w:tcW w:w="562" w:type="dxa"/>
            <w:shd w:val="clear" w:color="auto" w:fill="auto"/>
          </w:tcPr>
          <w:p w:rsidR="00B803C1" w:rsidRPr="00573206" w:rsidRDefault="00D00D6B" w:rsidP="00D26DE7">
            <w:pPr>
              <w:rPr>
                <w:rFonts w:eastAsia="Calibri"/>
                <w:b/>
              </w:rPr>
            </w:pPr>
            <w:r w:rsidRPr="00573206">
              <w:rPr>
                <w:rFonts w:eastAsia="Calibri"/>
                <w:b/>
              </w:rPr>
              <w:t>19</w:t>
            </w:r>
          </w:p>
        </w:tc>
        <w:tc>
          <w:tcPr>
            <w:tcW w:w="1134" w:type="dxa"/>
            <w:shd w:val="clear" w:color="auto" w:fill="auto"/>
          </w:tcPr>
          <w:p w:rsidR="00B803C1" w:rsidRPr="00573206" w:rsidRDefault="00573206" w:rsidP="00D26DE7">
            <w:pPr>
              <w:rPr>
                <w:rFonts w:eastAsia="Calibri"/>
                <w:b/>
              </w:rPr>
            </w:pPr>
            <w:r>
              <w:rPr>
                <w:b/>
              </w:rPr>
              <w:t>MEiN</w:t>
            </w:r>
          </w:p>
        </w:tc>
        <w:tc>
          <w:tcPr>
            <w:tcW w:w="1843" w:type="dxa"/>
            <w:shd w:val="clear" w:color="auto" w:fill="auto"/>
          </w:tcPr>
          <w:p w:rsidR="00B803C1" w:rsidRPr="00573206" w:rsidRDefault="00D00D6B" w:rsidP="00D26DE7">
            <w:pPr>
              <w:rPr>
                <w:rFonts w:eastAsia="Calibri"/>
              </w:rPr>
            </w:pPr>
            <w:r w:rsidRPr="00573206">
              <w:rPr>
                <w:rFonts w:eastAsia="Calibri"/>
              </w:rPr>
              <w:t>Obszar: wzmacnianie potencjału przedsiębiorstw i administracji publicznej na rzecz nowoczesnej gospodarki str. 16</w:t>
            </w:r>
          </w:p>
        </w:tc>
        <w:tc>
          <w:tcPr>
            <w:tcW w:w="4678" w:type="dxa"/>
            <w:shd w:val="clear" w:color="auto" w:fill="auto"/>
          </w:tcPr>
          <w:p w:rsidR="00B803C1" w:rsidRPr="00573206" w:rsidRDefault="00B803C1" w:rsidP="00D00D6B">
            <w:pPr>
              <w:rPr>
                <w:rFonts w:eastAsia="Calibri"/>
              </w:rPr>
            </w:pPr>
            <w:r w:rsidRPr="00573206">
              <w:rPr>
                <w:rFonts w:eastAsia="Calibri"/>
              </w:rPr>
              <w:t xml:space="preserve">Proponuje się uzupełnienie zapisu o recykling </w:t>
            </w:r>
            <w:r w:rsidR="00D00D6B" w:rsidRPr="00573206">
              <w:rPr>
                <w:rFonts w:eastAsia="Calibri"/>
              </w:rPr>
              <w:t xml:space="preserve">i ponowne zagospodarowanie </w:t>
            </w:r>
            <w:r w:rsidRPr="00573206">
              <w:rPr>
                <w:rFonts w:eastAsia="Calibri"/>
              </w:rPr>
              <w:t xml:space="preserve">już wytworzonych odpadów. </w:t>
            </w:r>
            <w:r w:rsidR="00D00D6B" w:rsidRPr="00573206">
              <w:rPr>
                <w:rFonts w:eastAsia="Calibri"/>
              </w:rPr>
              <w:t>Przyjazna środowisku g</w:t>
            </w:r>
            <w:r w:rsidRPr="00573206">
              <w:rPr>
                <w:rFonts w:eastAsia="Calibri"/>
              </w:rPr>
              <w:t xml:space="preserve">ospodarka odpadami </w:t>
            </w:r>
            <w:r w:rsidR="00D00D6B" w:rsidRPr="00573206">
              <w:rPr>
                <w:rFonts w:eastAsia="Calibri"/>
              </w:rPr>
              <w:t xml:space="preserve">to nie tylko minimalizacja ich wytwarzania ale również ponowne zagospodarowanie tych już wytworzonych (segregacja odpadów u źródła, </w:t>
            </w:r>
            <w:r w:rsidRPr="00573206">
              <w:rPr>
                <w:rFonts w:eastAsia="Calibri"/>
              </w:rPr>
              <w:t>odpady zbierane selektywnie i dobrej jakości</w:t>
            </w:r>
            <w:r w:rsidR="00D00D6B" w:rsidRPr="00573206">
              <w:rPr>
                <w:rFonts w:eastAsia="Calibri"/>
              </w:rPr>
              <w:t xml:space="preserve"> celem</w:t>
            </w:r>
            <w:r w:rsidRPr="00573206">
              <w:rPr>
                <w:rFonts w:eastAsia="Calibri"/>
              </w:rPr>
              <w:t xml:space="preserve"> dalszego efektywnego przetwarzania odpadów jako surowców</w:t>
            </w:r>
            <w:r w:rsidR="00D00D6B" w:rsidRPr="00573206">
              <w:rPr>
                <w:rFonts w:eastAsia="Calibri"/>
              </w:rPr>
              <w:t>)</w:t>
            </w:r>
            <w:r w:rsidRPr="00573206">
              <w:rPr>
                <w:rFonts w:eastAsia="Calibri"/>
              </w:rPr>
              <w:t xml:space="preserve">. </w:t>
            </w:r>
          </w:p>
        </w:tc>
        <w:tc>
          <w:tcPr>
            <w:tcW w:w="5812" w:type="dxa"/>
            <w:shd w:val="clear" w:color="auto" w:fill="auto"/>
          </w:tcPr>
          <w:p w:rsidR="00B803C1" w:rsidRPr="00573206" w:rsidRDefault="00B803C1" w:rsidP="00D00D6B">
            <w:pPr>
              <w:rPr>
                <w:rFonts w:eastAsia="Calibri"/>
              </w:rPr>
            </w:pPr>
            <w:r w:rsidRPr="00573206">
              <w:rPr>
                <w:rFonts w:eastAsia="Calibri"/>
              </w:rPr>
              <w:t>Zmiany modeli muszą uwzględniać ograniczenie zużycia zasobów pierwotnych, minimalizację produkcji odpadów</w:t>
            </w:r>
            <w:r w:rsidR="00D00D6B" w:rsidRPr="00573206">
              <w:rPr>
                <w:rFonts w:eastAsia="Calibri"/>
              </w:rPr>
              <w:t xml:space="preserve">, </w:t>
            </w:r>
            <w:r w:rsidR="00D00D6B" w:rsidRPr="00573206">
              <w:rPr>
                <w:rFonts w:eastAsia="Calibri"/>
                <w:color w:val="FF0000"/>
              </w:rPr>
              <w:t>recykling i ponowne zagospodarowanie już wytworzonych</w:t>
            </w:r>
            <w:r w:rsidRPr="00573206">
              <w:rPr>
                <w:rFonts w:eastAsia="Calibri"/>
              </w:rPr>
              <w:t>, koszty społeczne i środowiskowe wytwarzania produktów, a także promować ekoprojektowanie, wydłużanie życia produktów, współdzielenie, czy model sprzedaży funkcji danego produktu (product as a service).</w:t>
            </w:r>
          </w:p>
        </w:tc>
        <w:tc>
          <w:tcPr>
            <w:tcW w:w="1359" w:type="dxa"/>
          </w:tcPr>
          <w:p w:rsidR="00B803C1" w:rsidRPr="00573206" w:rsidRDefault="00B803C1" w:rsidP="00D26DE7">
            <w:pPr>
              <w:jc w:val="center"/>
            </w:pPr>
          </w:p>
        </w:tc>
      </w:tr>
      <w:tr w:rsidR="005F2BBC" w:rsidRPr="00573206" w:rsidTr="00B6178A">
        <w:tc>
          <w:tcPr>
            <w:tcW w:w="562" w:type="dxa"/>
            <w:shd w:val="clear" w:color="auto" w:fill="auto"/>
          </w:tcPr>
          <w:p w:rsidR="005F2BBC" w:rsidRPr="00573206" w:rsidRDefault="005F2BBC" w:rsidP="005F2BBC">
            <w:pPr>
              <w:rPr>
                <w:rFonts w:eastAsia="Calibri"/>
                <w:b/>
              </w:rPr>
            </w:pPr>
            <w:r w:rsidRPr="00573206">
              <w:rPr>
                <w:rFonts w:eastAsia="Calibri"/>
                <w:b/>
              </w:rPr>
              <w:t>20</w:t>
            </w:r>
          </w:p>
        </w:tc>
        <w:tc>
          <w:tcPr>
            <w:tcW w:w="1134" w:type="dxa"/>
            <w:shd w:val="clear" w:color="auto" w:fill="auto"/>
            <w:vAlign w:val="center"/>
          </w:tcPr>
          <w:p w:rsidR="005F2BBC" w:rsidRPr="00573206" w:rsidRDefault="00573206" w:rsidP="005F2BBC">
            <w:pPr>
              <w:spacing w:before="60" w:after="60"/>
              <w:jc w:val="center"/>
            </w:pPr>
            <w:r>
              <w:rPr>
                <w:b/>
              </w:rPr>
              <w:t>MEiN</w:t>
            </w:r>
          </w:p>
        </w:tc>
        <w:tc>
          <w:tcPr>
            <w:tcW w:w="1843" w:type="dxa"/>
            <w:shd w:val="clear" w:color="auto" w:fill="auto"/>
            <w:vAlign w:val="center"/>
          </w:tcPr>
          <w:p w:rsidR="005F2BBC" w:rsidRPr="00573206" w:rsidRDefault="005F2BBC" w:rsidP="005F2BBC">
            <w:pPr>
              <w:jc w:val="center"/>
            </w:pPr>
            <w:r w:rsidRPr="00573206">
              <w:t>Obszar: edukacja i kompetencje</w:t>
            </w:r>
          </w:p>
          <w:p w:rsidR="005F2BBC" w:rsidRPr="00573206" w:rsidRDefault="005F2BBC" w:rsidP="005F2BBC">
            <w:pPr>
              <w:jc w:val="center"/>
            </w:pPr>
            <w:r w:rsidRPr="00573206">
              <w:t>Str. 47</w:t>
            </w:r>
          </w:p>
        </w:tc>
        <w:tc>
          <w:tcPr>
            <w:tcW w:w="4678" w:type="dxa"/>
            <w:shd w:val="clear" w:color="auto" w:fill="auto"/>
            <w:vAlign w:val="center"/>
          </w:tcPr>
          <w:p w:rsidR="005F2BBC" w:rsidRPr="00573206" w:rsidRDefault="005F2BBC" w:rsidP="005F2BBC">
            <w:r w:rsidRPr="00573206">
              <w:t>Kadry systemu oświaty nie obejmują kadr uczelni:</w:t>
            </w:r>
          </w:p>
          <w:p w:rsidR="005F2BBC" w:rsidRPr="00573206" w:rsidRDefault="005F2BBC" w:rsidP="005F2BBC"/>
          <w:p w:rsidR="005F2BBC" w:rsidRPr="00573206" w:rsidRDefault="005F2BBC" w:rsidP="005F2BBC">
            <w:pPr>
              <w:rPr>
                <w:i/>
              </w:rPr>
            </w:pPr>
            <w:r w:rsidRPr="00573206">
              <w:rPr>
                <w:i/>
              </w:rPr>
              <w:t xml:space="preserve">„Sytuacja, w jakiej znalazł się polski system oświaty oraz szkolnictwo wyższe w związku z pandemią COVID-19 pokazała, że kolejnym wyzwaniem w tym zakresie jest konieczność podnoszenia kompetencji cyfrowych </w:t>
            </w:r>
            <w:r w:rsidRPr="00573206">
              <w:rPr>
                <w:i/>
                <w:u w:val="single"/>
              </w:rPr>
              <w:t xml:space="preserve">kadr </w:t>
            </w:r>
            <w:r w:rsidRPr="00573206">
              <w:rPr>
                <w:i/>
                <w:u w:val="single"/>
              </w:rPr>
              <w:lastRenderedPageBreak/>
              <w:t>systemu oświaty</w:t>
            </w:r>
            <w:r w:rsidRPr="00573206">
              <w:rPr>
                <w:i/>
                <w:color w:val="FF0000"/>
              </w:rPr>
              <w:t xml:space="preserve"> </w:t>
            </w:r>
            <w:r w:rsidRPr="00573206">
              <w:rPr>
                <w:i/>
              </w:rPr>
              <w:t xml:space="preserve">(przedszkola, szkoły podstawowe, szkoły ponadpodstawowe, szkoły branżowe, </w:t>
            </w:r>
            <w:r w:rsidRPr="00573206">
              <w:rPr>
                <w:i/>
                <w:u w:val="single"/>
              </w:rPr>
              <w:t>uczelnie</w:t>
            </w:r>
            <w:r w:rsidRPr="00573206">
              <w:rPr>
                <w:i/>
              </w:rPr>
              <w:t xml:space="preserve">), w tym do wykorzystania metod i narzędzi cyfrowych w czasie lekcji oraz do prowadzenia kształcenia w systemie </w:t>
            </w:r>
            <w:r w:rsidRPr="00573206">
              <w:rPr>
                <w:i/>
                <w:iCs/>
              </w:rPr>
              <w:t>on-line</w:t>
            </w:r>
            <w:r w:rsidRPr="00573206">
              <w:rPr>
                <w:i/>
              </w:rPr>
              <w:t xml:space="preserve">, a także podnoszenie kompetencji kadry zarządzającej </w:t>
            </w:r>
            <w:r w:rsidRPr="00573206">
              <w:rPr>
                <w:i/>
                <w:u w:val="single"/>
              </w:rPr>
              <w:t>systemem oswiaty</w:t>
            </w:r>
            <w:r w:rsidRPr="00573206">
              <w:rPr>
                <w:i/>
              </w:rPr>
              <w:t xml:space="preserve"> na poziomie lokalnym, regionalnym i krajowym.”</w:t>
            </w:r>
          </w:p>
        </w:tc>
        <w:tc>
          <w:tcPr>
            <w:tcW w:w="5812" w:type="dxa"/>
            <w:shd w:val="clear" w:color="auto" w:fill="auto"/>
            <w:vAlign w:val="center"/>
          </w:tcPr>
          <w:p w:rsidR="005F2BBC" w:rsidRPr="00573206" w:rsidRDefault="005F2BBC" w:rsidP="005F2BBC">
            <w:r w:rsidRPr="00573206">
              <w:lastRenderedPageBreak/>
              <w:t>Proponuje się uzupełnić zdanie w następujący sposób:</w:t>
            </w:r>
          </w:p>
          <w:p w:rsidR="005F2BBC" w:rsidRPr="00573206" w:rsidRDefault="005F2BBC" w:rsidP="005F2BBC"/>
          <w:p w:rsidR="005F2BBC" w:rsidRPr="00573206" w:rsidRDefault="005F2BBC" w:rsidP="005F2BBC">
            <w:pPr>
              <w:rPr>
                <w:i/>
              </w:rPr>
            </w:pPr>
            <w:r w:rsidRPr="00573206">
              <w:rPr>
                <w:i/>
              </w:rPr>
              <w:t>„Sytuacja, w jakiej znalazł się polski system oświaty oraz szkolnictwo wyższe w związku z pandemią COVID-19 pokazała, że kolejnym wyzwaniem w tym zakresie jest konieczność podnoszenia kompetencji cyfrowych kadr systemu oświaty</w:t>
            </w:r>
            <w:r w:rsidRPr="00573206">
              <w:rPr>
                <w:i/>
                <w:color w:val="FF0000"/>
              </w:rPr>
              <w:t xml:space="preserve"> i szkolnictwa wyższego </w:t>
            </w:r>
            <w:r w:rsidRPr="00573206">
              <w:rPr>
                <w:i/>
              </w:rPr>
              <w:t xml:space="preserve">(przedszkola, szkoły podstawowe, szkoły ponadpodstawowe, szkoły </w:t>
            </w:r>
            <w:r w:rsidRPr="00573206">
              <w:rPr>
                <w:i/>
              </w:rPr>
              <w:lastRenderedPageBreak/>
              <w:t xml:space="preserve">branżowe, uczelnie), w tym do wykorzystania metod i narzędzi cyfrowych w czasie lekcji oraz do prowadzenia kształcenia w systemie </w:t>
            </w:r>
            <w:r w:rsidRPr="00573206">
              <w:rPr>
                <w:i/>
                <w:iCs/>
              </w:rPr>
              <w:t>on-line</w:t>
            </w:r>
            <w:r w:rsidRPr="00573206">
              <w:rPr>
                <w:i/>
              </w:rPr>
              <w:t>, a także podnoszenie kompetencji kadry zarządzającej systemem o</w:t>
            </w:r>
            <w:r w:rsidRPr="00573206">
              <w:rPr>
                <w:i/>
                <w:color w:val="FF0000"/>
              </w:rPr>
              <w:t>ś</w:t>
            </w:r>
            <w:r w:rsidRPr="00573206">
              <w:rPr>
                <w:i/>
              </w:rPr>
              <w:t xml:space="preserve">wiaty </w:t>
            </w:r>
            <w:r w:rsidRPr="00573206">
              <w:rPr>
                <w:i/>
                <w:color w:val="FF0000"/>
              </w:rPr>
              <w:t xml:space="preserve">i szkolnictwa wyższego </w:t>
            </w:r>
            <w:r w:rsidRPr="00573206">
              <w:rPr>
                <w:i/>
              </w:rPr>
              <w:t>na poziomie lokalnym, regionalnym i krajowym.”</w:t>
            </w:r>
          </w:p>
        </w:tc>
        <w:tc>
          <w:tcPr>
            <w:tcW w:w="1359" w:type="dxa"/>
          </w:tcPr>
          <w:p w:rsidR="005F2BBC" w:rsidRPr="00573206" w:rsidRDefault="005F2BBC" w:rsidP="005F2BBC">
            <w:pPr>
              <w:jc w:val="center"/>
            </w:pPr>
          </w:p>
        </w:tc>
      </w:tr>
      <w:tr w:rsidR="005F2BBC" w:rsidRPr="00573206" w:rsidTr="00B6178A">
        <w:tc>
          <w:tcPr>
            <w:tcW w:w="562" w:type="dxa"/>
            <w:shd w:val="clear" w:color="auto" w:fill="auto"/>
          </w:tcPr>
          <w:p w:rsidR="005F2BBC" w:rsidRPr="00573206" w:rsidRDefault="005F2BBC" w:rsidP="005F2BBC">
            <w:pPr>
              <w:rPr>
                <w:rFonts w:eastAsia="Calibri"/>
                <w:b/>
              </w:rPr>
            </w:pPr>
            <w:r w:rsidRPr="00573206">
              <w:rPr>
                <w:rFonts w:eastAsia="Calibri"/>
                <w:b/>
              </w:rPr>
              <w:t>21</w:t>
            </w:r>
          </w:p>
        </w:tc>
        <w:tc>
          <w:tcPr>
            <w:tcW w:w="1134" w:type="dxa"/>
            <w:shd w:val="clear" w:color="auto" w:fill="auto"/>
            <w:vAlign w:val="center"/>
          </w:tcPr>
          <w:p w:rsidR="005F2BBC" w:rsidRPr="00573206" w:rsidRDefault="00573206" w:rsidP="005F2BBC">
            <w:pPr>
              <w:spacing w:before="60" w:after="60"/>
              <w:jc w:val="center"/>
            </w:pPr>
            <w:r>
              <w:rPr>
                <w:b/>
              </w:rPr>
              <w:t>MEiN</w:t>
            </w:r>
          </w:p>
        </w:tc>
        <w:tc>
          <w:tcPr>
            <w:tcW w:w="1843" w:type="dxa"/>
            <w:shd w:val="clear" w:color="auto" w:fill="auto"/>
            <w:vAlign w:val="center"/>
          </w:tcPr>
          <w:p w:rsidR="005F2BBC" w:rsidRPr="00573206" w:rsidRDefault="005F2BBC" w:rsidP="005F2BBC">
            <w:pPr>
              <w:jc w:val="center"/>
            </w:pPr>
            <w:r w:rsidRPr="00573206">
              <w:t>Obszar: edukacja i kompetencje</w:t>
            </w:r>
          </w:p>
          <w:p w:rsidR="005F2BBC" w:rsidRPr="00573206" w:rsidRDefault="005F2BBC" w:rsidP="005F2BBC">
            <w:pPr>
              <w:jc w:val="center"/>
            </w:pPr>
            <w:r w:rsidRPr="00573206">
              <w:t>Str. 47</w:t>
            </w:r>
          </w:p>
        </w:tc>
        <w:tc>
          <w:tcPr>
            <w:tcW w:w="4678" w:type="dxa"/>
            <w:shd w:val="clear" w:color="auto" w:fill="auto"/>
            <w:vAlign w:val="center"/>
          </w:tcPr>
          <w:p w:rsidR="005F2BBC" w:rsidRPr="00573206" w:rsidRDefault="005F2BBC" w:rsidP="005F2BBC">
            <w:r w:rsidRPr="00573206">
              <w:t>„Proces edukacyjny” to zawężone ujęcie tematu:</w:t>
            </w:r>
          </w:p>
          <w:p w:rsidR="005F2BBC" w:rsidRPr="00573206" w:rsidRDefault="005F2BBC" w:rsidP="005F2BBC"/>
          <w:p w:rsidR="005F2BBC" w:rsidRPr="00573206" w:rsidRDefault="005F2BBC" w:rsidP="005F2BBC">
            <w:pPr>
              <w:rPr>
                <w:i/>
              </w:rPr>
            </w:pPr>
            <w:r w:rsidRPr="00573206">
              <w:rPr>
                <w:i/>
              </w:rPr>
              <w:t xml:space="preserve">„Konieczne są z jednej strony działania zwiększające kompetencje cyfrowe i informacyjne, z drugiej zaś dalszy rozwój narzędzi informatycznych i materiałów cyfrowych wspierających cyfryzację procesów </w:t>
            </w:r>
            <w:r w:rsidRPr="00573206">
              <w:rPr>
                <w:i/>
                <w:u w:val="single"/>
              </w:rPr>
              <w:t>edukacyjnych</w:t>
            </w:r>
            <w:r w:rsidRPr="00573206">
              <w:rPr>
                <w:i/>
              </w:rPr>
              <w:t>, w tym egzaminów zewnętrznych, dostęp do danych oraz wsparcie pedagogiczno-psychologiczne.”</w:t>
            </w:r>
          </w:p>
        </w:tc>
        <w:tc>
          <w:tcPr>
            <w:tcW w:w="5812" w:type="dxa"/>
            <w:shd w:val="clear" w:color="auto" w:fill="auto"/>
            <w:vAlign w:val="center"/>
          </w:tcPr>
          <w:p w:rsidR="005F2BBC" w:rsidRPr="00573206" w:rsidRDefault="005F2BBC" w:rsidP="005F2BBC">
            <w:r w:rsidRPr="00573206">
              <w:t>Proponuje się zmodyfikować zdanie w następujący sposób:</w:t>
            </w:r>
          </w:p>
          <w:p w:rsidR="005F2BBC" w:rsidRPr="00573206" w:rsidRDefault="005F2BBC" w:rsidP="005F2BBC"/>
          <w:p w:rsidR="005F2BBC" w:rsidRPr="00573206" w:rsidRDefault="005F2BBC" w:rsidP="005F2BBC">
            <w:pPr>
              <w:rPr>
                <w:i/>
              </w:rPr>
            </w:pPr>
            <w:r w:rsidRPr="00573206">
              <w:rPr>
                <w:i/>
              </w:rPr>
              <w:t xml:space="preserve">„Konieczne są z jednej strony działania zwiększające kompetencje cyfrowe i informacyjne, z drugiej zaś dalszy rozwój narzędzi informatycznych i materiałów cyfrowych wspierających cyfryzację procesów </w:t>
            </w:r>
            <w:r w:rsidRPr="00573206">
              <w:rPr>
                <w:i/>
                <w:strike/>
                <w:color w:val="FF0000"/>
              </w:rPr>
              <w:t>edukacyjnych</w:t>
            </w:r>
            <w:r w:rsidRPr="00573206">
              <w:rPr>
                <w:i/>
              </w:rPr>
              <w:t xml:space="preserve"> </w:t>
            </w:r>
            <w:r w:rsidRPr="00573206">
              <w:rPr>
                <w:i/>
                <w:color w:val="FF0000"/>
              </w:rPr>
              <w:t>kształcenia</w:t>
            </w:r>
            <w:r w:rsidRPr="00573206">
              <w:rPr>
                <w:i/>
              </w:rPr>
              <w:t>, w tym egzaminów zewnętrznych, dostęp do danych oraz wsparcie pedagogiczno-psychologiczne.”</w:t>
            </w:r>
          </w:p>
        </w:tc>
        <w:tc>
          <w:tcPr>
            <w:tcW w:w="1359" w:type="dxa"/>
          </w:tcPr>
          <w:p w:rsidR="005F2BBC" w:rsidRPr="00573206" w:rsidRDefault="005F2BBC" w:rsidP="005F2BBC">
            <w:pPr>
              <w:jc w:val="center"/>
            </w:pPr>
          </w:p>
        </w:tc>
      </w:tr>
      <w:tr w:rsidR="005F2BBC" w:rsidRPr="00573206" w:rsidTr="00B6178A">
        <w:tc>
          <w:tcPr>
            <w:tcW w:w="562" w:type="dxa"/>
            <w:shd w:val="clear" w:color="auto" w:fill="auto"/>
          </w:tcPr>
          <w:p w:rsidR="005F2BBC" w:rsidRPr="00573206" w:rsidRDefault="005F2BBC" w:rsidP="005F2BBC">
            <w:pPr>
              <w:rPr>
                <w:rFonts w:eastAsia="Calibri"/>
                <w:b/>
              </w:rPr>
            </w:pPr>
            <w:r w:rsidRPr="00573206">
              <w:rPr>
                <w:rFonts w:eastAsia="Calibri"/>
                <w:b/>
              </w:rPr>
              <w:t>22</w:t>
            </w:r>
          </w:p>
        </w:tc>
        <w:tc>
          <w:tcPr>
            <w:tcW w:w="1134" w:type="dxa"/>
            <w:shd w:val="clear" w:color="auto" w:fill="auto"/>
            <w:vAlign w:val="center"/>
          </w:tcPr>
          <w:p w:rsidR="005F2BBC" w:rsidRPr="00573206" w:rsidRDefault="00573206" w:rsidP="005F2BBC">
            <w:pPr>
              <w:spacing w:before="60" w:after="60"/>
              <w:jc w:val="center"/>
            </w:pPr>
            <w:r>
              <w:rPr>
                <w:b/>
              </w:rPr>
              <w:t>MEiN</w:t>
            </w:r>
          </w:p>
        </w:tc>
        <w:tc>
          <w:tcPr>
            <w:tcW w:w="1843" w:type="dxa"/>
            <w:shd w:val="clear" w:color="auto" w:fill="auto"/>
            <w:vAlign w:val="center"/>
          </w:tcPr>
          <w:p w:rsidR="005F2BBC" w:rsidRPr="00573206" w:rsidRDefault="005F2BBC" w:rsidP="005F2BBC">
            <w:pPr>
              <w:jc w:val="center"/>
            </w:pPr>
            <w:r w:rsidRPr="00573206">
              <w:t>Obszar: edukacja i kompetencje</w:t>
            </w:r>
          </w:p>
          <w:p w:rsidR="005F2BBC" w:rsidRPr="00573206" w:rsidRDefault="005F2BBC" w:rsidP="005F2BBC">
            <w:pPr>
              <w:jc w:val="center"/>
            </w:pPr>
            <w:r w:rsidRPr="00573206">
              <w:t>Str. 48</w:t>
            </w:r>
          </w:p>
        </w:tc>
        <w:tc>
          <w:tcPr>
            <w:tcW w:w="4678" w:type="dxa"/>
            <w:shd w:val="clear" w:color="auto" w:fill="auto"/>
            <w:vAlign w:val="center"/>
          </w:tcPr>
          <w:p w:rsidR="005F2BBC" w:rsidRPr="00573206" w:rsidRDefault="005F2BBC" w:rsidP="005F2BBC">
            <w:r w:rsidRPr="00573206">
              <w:t xml:space="preserve">W myśl </w:t>
            </w:r>
            <w:r w:rsidRPr="00573206">
              <w:rPr>
                <w:i/>
              </w:rPr>
              <w:t>ustawy – Prawo o szkolnictwie wyższym i nauce</w:t>
            </w:r>
            <w:r w:rsidRPr="00573206">
              <w:t xml:space="preserve">, studia doktoranckie są wygaszane, a w ich miejsce powstały szkoły doktorskie. Doktoranci nie są określani mianem studentów (studiów III stopnia), a zgodnie z definicją (art. 360 ust. 2 pkt 1 ustawy) uznaje się ich za młodych naukowców. Stąd wdrażane dokumenty powinny już z nazwy wyodrębniać grupę doktorantów. </w:t>
            </w:r>
          </w:p>
          <w:p w:rsidR="005F2BBC" w:rsidRPr="00573206" w:rsidRDefault="005F2BBC" w:rsidP="005F2BBC"/>
          <w:p w:rsidR="005F2BBC" w:rsidRPr="00573206" w:rsidRDefault="005F2BBC" w:rsidP="005F2BBC"/>
          <w:p w:rsidR="005F2BBC" w:rsidRPr="00573206" w:rsidRDefault="005F2BBC" w:rsidP="005F2BBC">
            <w:pPr>
              <w:rPr>
                <w:i/>
              </w:rPr>
            </w:pPr>
            <w:r w:rsidRPr="00573206">
              <w:rPr>
                <w:i/>
              </w:rPr>
              <w:t xml:space="preserve">„Istotnym wyzwaniem jest przede wszystkim poprawa warunków kształcenia uczniów i </w:t>
            </w:r>
            <w:r w:rsidRPr="00573206">
              <w:rPr>
                <w:i/>
                <w:u w:val="single"/>
              </w:rPr>
              <w:t>studentów</w:t>
            </w:r>
            <w:r w:rsidRPr="00573206">
              <w:rPr>
                <w:i/>
              </w:rPr>
              <w:t xml:space="preserve"> z niepełnosprawnościami.”</w:t>
            </w:r>
          </w:p>
        </w:tc>
        <w:tc>
          <w:tcPr>
            <w:tcW w:w="5812" w:type="dxa"/>
            <w:shd w:val="clear" w:color="auto" w:fill="auto"/>
            <w:vAlign w:val="center"/>
          </w:tcPr>
          <w:p w:rsidR="005F2BBC" w:rsidRPr="00573206" w:rsidRDefault="005F2BBC" w:rsidP="005F2BBC">
            <w:r w:rsidRPr="00573206">
              <w:t>Proponuje się uzupełnić zdanie w następujący sposób:</w:t>
            </w:r>
          </w:p>
          <w:p w:rsidR="005F2BBC" w:rsidRPr="00573206" w:rsidRDefault="005F2BBC" w:rsidP="005F2BBC">
            <w:pPr>
              <w:rPr>
                <w:b/>
              </w:rPr>
            </w:pPr>
          </w:p>
          <w:p w:rsidR="005F2BBC" w:rsidRPr="00573206" w:rsidRDefault="005F2BBC" w:rsidP="005F2BBC">
            <w:pPr>
              <w:rPr>
                <w:i/>
              </w:rPr>
            </w:pPr>
            <w:r w:rsidRPr="00573206">
              <w:rPr>
                <w:i/>
              </w:rPr>
              <w:t>„Istotnym wyzwaniem jest przede wszystkim poprawa warunków kształcenia uczniów</w:t>
            </w:r>
            <w:r w:rsidRPr="00573206">
              <w:rPr>
                <w:i/>
                <w:strike/>
                <w:color w:val="FF0000"/>
              </w:rPr>
              <w:t xml:space="preserve"> i</w:t>
            </w:r>
            <w:r w:rsidRPr="00573206">
              <w:rPr>
                <w:i/>
                <w:color w:val="FF0000"/>
              </w:rPr>
              <w:t xml:space="preserve">, </w:t>
            </w:r>
            <w:r w:rsidRPr="00573206">
              <w:rPr>
                <w:i/>
              </w:rPr>
              <w:t>studentów</w:t>
            </w:r>
            <w:r w:rsidRPr="00573206">
              <w:rPr>
                <w:i/>
                <w:color w:val="FF0000"/>
              </w:rPr>
              <w:t xml:space="preserve"> i doktorantów</w:t>
            </w:r>
            <w:r w:rsidRPr="00573206">
              <w:rPr>
                <w:i/>
              </w:rPr>
              <w:t xml:space="preserve"> z niepełnosprawnościami.”</w:t>
            </w:r>
          </w:p>
        </w:tc>
        <w:tc>
          <w:tcPr>
            <w:tcW w:w="1359" w:type="dxa"/>
          </w:tcPr>
          <w:p w:rsidR="005F2BBC" w:rsidRPr="00573206" w:rsidRDefault="005F2BBC" w:rsidP="005F2BBC">
            <w:pPr>
              <w:jc w:val="center"/>
            </w:pPr>
          </w:p>
        </w:tc>
      </w:tr>
      <w:tr w:rsidR="005F2BBC" w:rsidRPr="00573206" w:rsidTr="00B6178A">
        <w:tc>
          <w:tcPr>
            <w:tcW w:w="562" w:type="dxa"/>
            <w:shd w:val="clear" w:color="auto" w:fill="auto"/>
          </w:tcPr>
          <w:p w:rsidR="005F2BBC" w:rsidRPr="00573206" w:rsidRDefault="005F2BBC" w:rsidP="005F2BBC">
            <w:pPr>
              <w:rPr>
                <w:rFonts w:eastAsia="Calibri"/>
                <w:b/>
              </w:rPr>
            </w:pPr>
            <w:r w:rsidRPr="00573206">
              <w:rPr>
                <w:rFonts w:eastAsia="Calibri"/>
                <w:b/>
              </w:rPr>
              <w:lastRenderedPageBreak/>
              <w:t>23</w:t>
            </w:r>
          </w:p>
        </w:tc>
        <w:tc>
          <w:tcPr>
            <w:tcW w:w="1134" w:type="dxa"/>
            <w:shd w:val="clear" w:color="auto" w:fill="auto"/>
            <w:vAlign w:val="center"/>
          </w:tcPr>
          <w:p w:rsidR="005F2BBC" w:rsidRPr="00573206" w:rsidRDefault="00573206" w:rsidP="005F2BBC">
            <w:pPr>
              <w:spacing w:before="60" w:after="60"/>
              <w:jc w:val="center"/>
            </w:pPr>
            <w:r>
              <w:rPr>
                <w:b/>
              </w:rPr>
              <w:t>MEiN</w:t>
            </w:r>
          </w:p>
        </w:tc>
        <w:tc>
          <w:tcPr>
            <w:tcW w:w="1843" w:type="dxa"/>
            <w:shd w:val="clear" w:color="auto" w:fill="auto"/>
            <w:vAlign w:val="center"/>
          </w:tcPr>
          <w:p w:rsidR="005F2BBC" w:rsidRPr="00573206" w:rsidRDefault="005F2BBC" w:rsidP="005F2BBC">
            <w:pPr>
              <w:jc w:val="center"/>
            </w:pPr>
            <w:r w:rsidRPr="00573206">
              <w:t>Obszar: edukacja i kompetencje</w:t>
            </w:r>
          </w:p>
          <w:p w:rsidR="005F2BBC" w:rsidRPr="00573206" w:rsidRDefault="005F2BBC" w:rsidP="005F2BBC">
            <w:pPr>
              <w:jc w:val="center"/>
            </w:pPr>
            <w:r w:rsidRPr="00573206">
              <w:t>Str. 49</w:t>
            </w:r>
          </w:p>
        </w:tc>
        <w:tc>
          <w:tcPr>
            <w:tcW w:w="4678" w:type="dxa"/>
            <w:shd w:val="clear" w:color="auto" w:fill="auto"/>
            <w:vAlign w:val="center"/>
          </w:tcPr>
          <w:p w:rsidR="005F2BBC" w:rsidRPr="00573206" w:rsidRDefault="005F2BBC" w:rsidP="005F2BBC">
            <w:pPr>
              <w:rPr>
                <w:i/>
              </w:rPr>
            </w:pPr>
            <w:r w:rsidRPr="00573206">
              <w:rPr>
                <w:i/>
              </w:rPr>
              <w:t>„Kolejne wyzwanie to wzmocnienie społecznej i wychowawczej funkcji placówek oświatowych, także w kontekście problemów wychowawczych czy trudności w nauce powstałych w wyniku pandemii COVID-19. Prace w tym zakresie koncentrować się będą na opracowaniu systemu doskonalenia i wsparcia kadr, budowaniu kompetencji wychowawczych i psychologicznych, jak również na tworzeniu zasobów metodycznych wspierających pracę podmiotów oświatowych w działaniach społecznych i wychowawczych. Zaangażowanie szkoły w pomoc psychologiczną staje się zadaniem priorytetowym, nie tylko ze względu na długotrwałą edukację zdalną, która nie sprzyja kontaktom z grupami rówieśniczymi, ale także z uwagi na stres i napięcie, jaki towarzyszy dzieciom i młodzieży, choćby z powodu szybkości zmian zachodzących w świecie, systemie edukacji itd. Placówki szkolne i wspomagające szkołę powinny być kluczowym miejscem pomocy, także dla rodziców i opiekunów, np. w zakresie problemów związanych z cyberprzemocą w szkole czy uzależnieniem od Internetu i technologii cyfrowych.”</w:t>
            </w:r>
          </w:p>
          <w:p w:rsidR="005F2BBC" w:rsidRPr="00573206" w:rsidRDefault="005F2BBC" w:rsidP="005F2BBC">
            <w:r w:rsidRPr="00573206">
              <w:t>oraz</w:t>
            </w:r>
          </w:p>
          <w:p w:rsidR="005F2BBC" w:rsidRPr="00573206" w:rsidRDefault="005F2BBC" w:rsidP="005F2BBC">
            <w:pPr>
              <w:rPr>
                <w:i/>
              </w:rPr>
            </w:pPr>
            <w:r w:rsidRPr="00573206">
              <w:rPr>
                <w:i/>
              </w:rPr>
              <w:t>„Jak pokazują statystyki publiczne, wzrasta liczba dzieci i młodzieży z zaburzeniami psychicznymi. W związku z tym, wyzwaniem jest stworzenie przyjaznych uczniom warunków rozwojowych w szkołach. Konieczne jest doinwestowanie szkoły w obszarach związanych z bardzo ważną funkcją wychowawczą i wspierającą, w tym zwłaszcza w zakresie pomocy psychologiczno-</w:t>
            </w:r>
            <w:r w:rsidRPr="00573206">
              <w:rPr>
                <w:i/>
              </w:rPr>
              <w:lastRenderedPageBreak/>
              <w:t>pedagogicznej. Istotne jest także kształtowanie i wspieranie zdrowego stylu życia uczniów opartego na aktywności fizycznej, tak aby umożliwić uczniom rozwój na różnych płaszczyznach. Działania w ramach EFS+ powinny wspierać wypracowywanie rozwiązań wzmacniających relacje na linii szkoła-nauczyciele-rodzice–uczniowie oraz tworzyć warunki do współpracy, a także zapewnienia uczniom wsparcia psychologicznego w szkole”.</w:t>
            </w:r>
          </w:p>
        </w:tc>
        <w:tc>
          <w:tcPr>
            <w:tcW w:w="5812" w:type="dxa"/>
            <w:shd w:val="clear" w:color="auto" w:fill="auto"/>
            <w:vAlign w:val="center"/>
          </w:tcPr>
          <w:p w:rsidR="005F2BBC" w:rsidRPr="00573206" w:rsidRDefault="005F2BBC" w:rsidP="005F2BBC">
            <w:r w:rsidRPr="00573206">
              <w:lastRenderedPageBreak/>
              <w:t>W kontekście kształcenia, zagadnienie pomocy psychologicznej powinno odnosić się w pewnym stopniu również do szerszej niż dzieci i młodzież grupy odbiorców, tj. również do studentów i doktorantów. Wydaje się, że w dokumencie brakuje tego aspektu.</w:t>
            </w:r>
          </w:p>
        </w:tc>
        <w:tc>
          <w:tcPr>
            <w:tcW w:w="1359" w:type="dxa"/>
          </w:tcPr>
          <w:p w:rsidR="005F2BBC" w:rsidRPr="00573206" w:rsidRDefault="005F2BBC" w:rsidP="005F2BBC">
            <w:pPr>
              <w:jc w:val="center"/>
            </w:pPr>
          </w:p>
        </w:tc>
      </w:tr>
      <w:tr w:rsidR="005F2BBC" w:rsidRPr="00573206" w:rsidTr="00B6178A">
        <w:tc>
          <w:tcPr>
            <w:tcW w:w="562" w:type="dxa"/>
            <w:shd w:val="clear" w:color="auto" w:fill="auto"/>
          </w:tcPr>
          <w:p w:rsidR="005F2BBC" w:rsidRPr="00573206" w:rsidRDefault="005F2BBC" w:rsidP="005F2BBC">
            <w:pPr>
              <w:rPr>
                <w:rFonts w:eastAsia="Calibri"/>
                <w:b/>
              </w:rPr>
            </w:pPr>
            <w:r w:rsidRPr="00573206">
              <w:rPr>
                <w:rFonts w:eastAsia="Calibri"/>
                <w:b/>
              </w:rPr>
              <w:t>24</w:t>
            </w:r>
          </w:p>
        </w:tc>
        <w:tc>
          <w:tcPr>
            <w:tcW w:w="1134" w:type="dxa"/>
            <w:shd w:val="clear" w:color="auto" w:fill="auto"/>
            <w:vAlign w:val="center"/>
          </w:tcPr>
          <w:p w:rsidR="005F2BBC" w:rsidRPr="00573206" w:rsidRDefault="00573206" w:rsidP="005F2BBC">
            <w:pPr>
              <w:spacing w:before="60" w:after="60"/>
              <w:jc w:val="center"/>
            </w:pPr>
            <w:r>
              <w:rPr>
                <w:b/>
              </w:rPr>
              <w:t>MEiN</w:t>
            </w:r>
          </w:p>
        </w:tc>
        <w:tc>
          <w:tcPr>
            <w:tcW w:w="1843" w:type="dxa"/>
            <w:shd w:val="clear" w:color="auto" w:fill="auto"/>
            <w:vAlign w:val="center"/>
          </w:tcPr>
          <w:p w:rsidR="005F2BBC" w:rsidRPr="00573206" w:rsidRDefault="005F2BBC" w:rsidP="005F2BBC">
            <w:pPr>
              <w:jc w:val="center"/>
            </w:pPr>
            <w:r w:rsidRPr="00573206">
              <w:t>Obszar: edukacja i kompetencje</w:t>
            </w:r>
          </w:p>
          <w:p w:rsidR="005F2BBC" w:rsidRPr="00573206" w:rsidRDefault="005F2BBC" w:rsidP="005F2BBC">
            <w:pPr>
              <w:jc w:val="center"/>
            </w:pPr>
            <w:r w:rsidRPr="00573206">
              <w:t>Str. 51</w:t>
            </w:r>
          </w:p>
        </w:tc>
        <w:tc>
          <w:tcPr>
            <w:tcW w:w="4678" w:type="dxa"/>
            <w:shd w:val="clear" w:color="auto" w:fill="auto"/>
            <w:vAlign w:val="center"/>
          </w:tcPr>
          <w:p w:rsidR="005F2BBC" w:rsidRPr="00573206" w:rsidRDefault="005F2BBC" w:rsidP="005F2BBC">
            <w:r w:rsidRPr="00573206">
              <w:t xml:space="preserve">Jw. </w:t>
            </w:r>
            <w:r w:rsidR="00573206">
              <w:t>w pkt 22</w:t>
            </w:r>
          </w:p>
          <w:p w:rsidR="005F2BBC" w:rsidRPr="00573206" w:rsidRDefault="005F2BBC" w:rsidP="005F2BBC"/>
          <w:p w:rsidR="005F2BBC" w:rsidRPr="00573206" w:rsidRDefault="005F2BBC" w:rsidP="005F2BBC">
            <w:pPr>
              <w:rPr>
                <w:i/>
              </w:rPr>
            </w:pPr>
            <w:r w:rsidRPr="00573206">
              <w:rPr>
                <w:i/>
              </w:rPr>
              <w:t xml:space="preserve">„Konieczne jest uzupełnienie i pogłębienie działań związanych z internacjonalizacją polskiego sektora szkolnictwa wyższego i nauki poprzez zwiększenie mobilności zagranicznej </w:t>
            </w:r>
            <w:r w:rsidRPr="00573206">
              <w:rPr>
                <w:i/>
                <w:u w:val="single"/>
              </w:rPr>
              <w:t>studentów</w:t>
            </w:r>
            <w:r w:rsidRPr="00573206">
              <w:rPr>
                <w:i/>
              </w:rPr>
              <w:t xml:space="preserve"> i naukowców oraz wzmocnienie działań związanych z umiędzynarodowieniem </w:t>
            </w:r>
            <w:r w:rsidRPr="00573206">
              <w:rPr>
                <w:i/>
                <w:u w:val="single"/>
              </w:rPr>
              <w:t>studiów</w:t>
            </w:r>
            <w:r w:rsidRPr="00573206">
              <w:rPr>
                <w:i/>
              </w:rPr>
              <w:t>.”</w:t>
            </w:r>
          </w:p>
        </w:tc>
        <w:tc>
          <w:tcPr>
            <w:tcW w:w="5812" w:type="dxa"/>
            <w:shd w:val="clear" w:color="auto" w:fill="auto"/>
            <w:vAlign w:val="center"/>
          </w:tcPr>
          <w:p w:rsidR="005F2BBC" w:rsidRPr="00573206" w:rsidRDefault="005F2BBC" w:rsidP="005F2BBC">
            <w:r w:rsidRPr="00573206">
              <w:t>Proponuje się uzupełnić zdanie w następujący sposób:</w:t>
            </w:r>
          </w:p>
          <w:p w:rsidR="005F2BBC" w:rsidRPr="00573206" w:rsidRDefault="005F2BBC" w:rsidP="005F2BBC"/>
          <w:p w:rsidR="005F2BBC" w:rsidRPr="00573206" w:rsidRDefault="005F2BBC" w:rsidP="005F2BBC">
            <w:pPr>
              <w:rPr>
                <w:i/>
              </w:rPr>
            </w:pPr>
            <w:r w:rsidRPr="00573206">
              <w:rPr>
                <w:i/>
              </w:rPr>
              <w:t>„Konieczne jest uzupełnienie i pogłębienie działań związanych z internacjonalizacją polskiego sektora szkolnictwa wyższego i nauki poprzez zwiększenie mobilności zagranicznej studentów</w:t>
            </w:r>
            <w:r w:rsidRPr="00573206">
              <w:rPr>
                <w:i/>
                <w:color w:val="FF0000"/>
              </w:rPr>
              <w:t xml:space="preserve"> </w:t>
            </w:r>
            <w:r w:rsidRPr="00573206">
              <w:rPr>
                <w:i/>
              </w:rPr>
              <w:t>i naukowców oraz wzmocnienie działań związanych z umiędzynarodowieniem studiów</w:t>
            </w:r>
            <w:r w:rsidRPr="00573206">
              <w:rPr>
                <w:i/>
                <w:color w:val="FF0000"/>
              </w:rPr>
              <w:t xml:space="preserve"> i kształcenia w szkole doktorskiej</w:t>
            </w:r>
            <w:r w:rsidRPr="00573206">
              <w:rPr>
                <w:i/>
              </w:rPr>
              <w:t>.”</w:t>
            </w:r>
          </w:p>
          <w:p w:rsidR="005F2BBC" w:rsidRPr="00573206" w:rsidRDefault="005F2BBC" w:rsidP="005F2BBC">
            <w:pPr>
              <w:rPr>
                <w:b/>
              </w:rPr>
            </w:pPr>
            <w:r w:rsidRPr="00573206">
              <w:t>zakładając jednocześnie, że wyraz „naukowców” obejmuje swym znaczeniem doktorantów.</w:t>
            </w:r>
          </w:p>
        </w:tc>
        <w:tc>
          <w:tcPr>
            <w:tcW w:w="1359" w:type="dxa"/>
          </w:tcPr>
          <w:p w:rsidR="005F2BBC" w:rsidRPr="00573206" w:rsidRDefault="005F2BBC" w:rsidP="005F2BBC">
            <w:pPr>
              <w:jc w:val="center"/>
            </w:pPr>
          </w:p>
        </w:tc>
      </w:tr>
      <w:tr w:rsidR="005F2BBC" w:rsidRPr="00573206" w:rsidTr="00B6178A">
        <w:tc>
          <w:tcPr>
            <w:tcW w:w="562" w:type="dxa"/>
            <w:shd w:val="clear" w:color="auto" w:fill="auto"/>
          </w:tcPr>
          <w:p w:rsidR="005F2BBC" w:rsidRPr="00573206" w:rsidRDefault="005F2BBC" w:rsidP="005F2BBC">
            <w:pPr>
              <w:rPr>
                <w:rFonts w:eastAsia="Calibri"/>
                <w:b/>
              </w:rPr>
            </w:pPr>
            <w:r w:rsidRPr="00573206">
              <w:rPr>
                <w:rFonts w:eastAsia="Calibri"/>
                <w:b/>
              </w:rPr>
              <w:t>25</w:t>
            </w:r>
          </w:p>
        </w:tc>
        <w:tc>
          <w:tcPr>
            <w:tcW w:w="1134" w:type="dxa"/>
            <w:shd w:val="clear" w:color="auto" w:fill="auto"/>
            <w:vAlign w:val="center"/>
          </w:tcPr>
          <w:p w:rsidR="005F2BBC" w:rsidRPr="00573206" w:rsidRDefault="00573206" w:rsidP="005F2BBC">
            <w:pPr>
              <w:spacing w:before="60" w:after="60"/>
              <w:jc w:val="center"/>
            </w:pPr>
            <w:r>
              <w:rPr>
                <w:b/>
              </w:rPr>
              <w:t>MEiN</w:t>
            </w:r>
          </w:p>
        </w:tc>
        <w:tc>
          <w:tcPr>
            <w:tcW w:w="1843" w:type="dxa"/>
            <w:shd w:val="clear" w:color="auto" w:fill="auto"/>
            <w:vAlign w:val="center"/>
          </w:tcPr>
          <w:p w:rsidR="005F2BBC" w:rsidRPr="00573206" w:rsidRDefault="005F2BBC" w:rsidP="005F2BBC">
            <w:pPr>
              <w:jc w:val="center"/>
            </w:pPr>
            <w:r w:rsidRPr="00573206">
              <w:rPr>
                <w:iCs/>
              </w:rPr>
              <w:t>2.1.1. Cel „Bardziej konkurencyjna i inteligentna Europa dzięki promowaniu innowacyjnej i inteligentnej transformacji gospodarczej”</w:t>
            </w:r>
          </w:p>
          <w:p w:rsidR="005F2BBC" w:rsidRPr="00573206" w:rsidRDefault="005F2BBC" w:rsidP="005F2BBC">
            <w:pPr>
              <w:jc w:val="center"/>
            </w:pPr>
            <w:r w:rsidRPr="00573206">
              <w:t>Str. 78</w:t>
            </w:r>
          </w:p>
        </w:tc>
        <w:tc>
          <w:tcPr>
            <w:tcW w:w="4678" w:type="dxa"/>
            <w:shd w:val="clear" w:color="auto" w:fill="auto"/>
            <w:vAlign w:val="center"/>
          </w:tcPr>
          <w:p w:rsidR="005F2BBC" w:rsidRPr="00573206" w:rsidRDefault="005F2BBC" w:rsidP="005F2BBC">
            <w:pPr>
              <w:pStyle w:val="Default"/>
              <w:rPr>
                <w:rFonts w:ascii="Times New Roman" w:hAnsi="Times New Roman" w:cs="Times New Roman"/>
              </w:rPr>
            </w:pPr>
            <w:r w:rsidRPr="00573206">
              <w:rPr>
                <w:rFonts w:ascii="Times New Roman" w:hAnsi="Times New Roman" w:cs="Times New Roman"/>
                <w:color w:val="auto"/>
              </w:rPr>
              <w:t>Sformułowanie:</w:t>
            </w:r>
            <w:r w:rsidRPr="00573206">
              <w:rPr>
                <w:rFonts w:ascii="Times New Roman" w:hAnsi="Times New Roman" w:cs="Times New Roman"/>
              </w:rPr>
              <w:t xml:space="preserve"> </w:t>
            </w:r>
            <w:r w:rsidRPr="00573206">
              <w:rPr>
                <w:rFonts w:ascii="Times New Roman" w:hAnsi="Times New Roman" w:cs="Times New Roman"/>
                <w:i/>
              </w:rPr>
              <w:t xml:space="preserve">„polskie </w:t>
            </w:r>
            <w:r w:rsidRPr="00573206">
              <w:rPr>
                <w:rFonts w:ascii="Times New Roman" w:hAnsi="Times New Roman" w:cs="Times New Roman"/>
                <w:i/>
                <w:u w:val="single"/>
              </w:rPr>
              <w:t>jednostki naukowe</w:t>
            </w:r>
            <w:r w:rsidRPr="00573206">
              <w:rPr>
                <w:rFonts w:ascii="Times New Roman" w:hAnsi="Times New Roman" w:cs="Times New Roman"/>
                <w:i/>
              </w:rPr>
              <w:t>”</w:t>
            </w:r>
          </w:p>
          <w:p w:rsidR="005F2BBC" w:rsidRPr="00573206" w:rsidRDefault="005F2BBC" w:rsidP="005F2BBC">
            <w:pPr>
              <w:pStyle w:val="Default"/>
              <w:rPr>
                <w:rFonts w:ascii="Times New Roman" w:hAnsi="Times New Roman" w:cs="Times New Roman"/>
              </w:rPr>
            </w:pPr>
            <w:r w:rsidRPr="00573206">
              <w:rPr>
                <w:rFonts w:ascii="Times New Roman" w:hAnsi="Times New Roman" w:cs="Times New Roman"/>
              </w:rPr>
              <w:t xml:space="preserve">nie funkcjonuje w </w:t>
            </w:r>
            <w:r w:rsidRPr="00573206">
              <w:rPr>
                <w:rFonts w:ascii="Times New Roman" w:hAnsi="Times New Roman" w:cs="Times New Roman"/>
                <w:i/>
              </w:rPr>
              <w:t>ustawie – Prawo o szkolnictwie wyższym i nauce</w:t>
            </w:r>
            <w:r w:rsidRPr="00573206">
              <w:rPr>
                <w:rFonts w:ascii="Times New Roman" w:hAnsi="Times New Roman" w:cs="Times New Roman"/>
              </w:rPr>
              <w:t>.</w:t>
            </w:r>
          </w:p>
          <w:p w:rsidR="005F2BBC" w:rsidRPr="00573206" w:rsidRDefault="005F2BBC" w:rsidP="005F2BBC"/>
        </w:tc>
        <w:tc>
          <w:tcPr>
            <w:tcW w:w="5812" w:type="dxa"/>
            <w:shd w:val="clear" w:color="auto" w:fill="auto"/>
            <w:vAlign w:val="center"/>
          </w:tcPr>
          <w:p w:rsidR="005F2BBC" w:rsidRPr="00573206" w:rsidRDefault="005F2BBC" w:rsidP="005F2BBC">
            <w:pPr>
              <w:pStyle w:val="Default"/>
              <w:rPr>
                <w:rFonts w:ascii="Times New Roman" w:hAnsi="Times New Roman" w:cs="Times New Roman"/>
              </w:rPr>
            </w:pPr>
            <w:r w:rsidRPr="00573206">
              <w:rPr>
                <w:rFonts w:ascii="Times New Roman" w:hAnsi="Times New Roman" w:cs="Times New Roman"/>
              </w:rPr>
              <w:t>Proponuje się używanie sformułowania:</w:t>
            </w:r>
          </w:p>
          <w:p w:rsidR="005F2BBC" w:rsidRPr="00573206" w:rsidRDefault="005F2BBC" w:rsidP="005F2BBC">
            <w:pPr>
              <w:pStyle w:val="Default"/>
              <w:rPr>
                <w:rFonts w:ascii="Times New Roman" w:hAnsi="Times New Roman" w:cs="Times New Roman"/>
              </w:rPr>
            </w:pPr>
            <w:r w:rsidRPr="00573206">
              <w:rPr>
                <w:rFonts w:ascii="Times New Roman" w:hAnsi="Times New Roman" w:cs="Times New Roman"/>
                <w:i/>
              </w:rPr>
              <w:t xml:space="preserve">„polskie </w:t>
            </w:r>
            <w:r w:rsidRPr="00573206">
              <w:rPr>
                <w:rFonts w:ascii="Times New Roman" w:hAnsi="Times New Roman" w:cs="Times New Roman"/>
                <w:i/>
                <w:color w:val="FF0000"/>
              </w:rPr>
              <w:t>podmioty systemu szkolnictwa wyższego i nauki</w:t>
            </w:r>
            <w:r w:rsidRPr="00573206">
              <w:rPr>
                <w:rFonts w:ascii="Times New Roman" w:hAnsi="Times New Roman" w:cs="Times New Roman"/>
                <w:i/>
              </w:rPr>
              <w:t xml:space="preserve">” </w:t>
            </w:r>
            <w:r w:rsidRPr="00573206">
              <w:rPr>
                <w:rFonts w:ascii="Times New Roman" w:hAnsi="Times New Roman" w:cs="Times New Roman"/>
              </w:rPr>
              <w:t>(jak to zrobiono na str. 81).</w:t>
            </w:r>
          </w:p>
          <w:p w:rsidR="005F2BBC" w:rsidRPr="00573206" w:rsidRDefault="005F2BBC" w:rsidP="005F2BBC"/>
        </w:tc>
        <w:tc>
          <w:tcPr>
            <w:tcW w:w="1359" w:type="dxa"/>
          </w:tcPr>
          <w:p w:rsidR="005F2BBC" w:rsidRPr="00573206" w:rsidRDefault="005F2BBC" w:rsidP="005F2BBC">
            <w:pPr>
              <w:jc w:val="center"/>
            </w:pPr>
          </w:p>
        </w:tc>
      </w:tr>
      <w:tr w:rsidR="005F2BBC" w:rsidRPr="00573206" w:rsidTr="00B6178A">
        <w:tc>
          <w:tcPr>
            <w:tcW w:w="562" w:type="dxa"/>
            <w:shd w:val="clear" w:color="auto" w:fill="auto"/>
          </w:tcPr>
          <w:p w:rsidR="005F2BBC" w:rsidRPr="00573206" w:rsidRDefault="00573206" w:rsidP="005F2BBC">
            <w:pPr>
              <w:rPr>
                <w:rFonts w:eastAsia="Calibri"/>
                <w:b/>
              </w:rPr>
            </w:pPr>
            <w:r>
              <w:rPr>
                <w:rFonts w:eastAsia="Calibri"/>
                <w:b/>
              </w:rPr>
              <w:t>26</w:t>
            </w:r>
          </w:p>
        </w:tc>
        <w:tc>
          <w:tcPr>
            <w:tcW w:w="1134" w:type="dxa"/>
            <w:shd w:val="clear" w:color="auto" w:fill="auto"/>
            <w:vAlign w:val="center"/>
          </w:tcPr>
          <w:p w:rsidR="005F2BBC" w:rsidRPr="00573206" w:rsidRDefault="00573206" w:rsidP="005F2BBC">
            <w:pPr>
              <w:spacing w:before="60" w:after="60"/>
              <w:jc w:val="center"/>
            </w:pPr>
            <w:r>
              <w:rPr>
                <w:b/>
              </w:rPr>
              <w:t>MEiN</w:t>
            </w:r>
          </w:p>
        </w:tc>
        <w:tc>
          <w:tcPr>
            <w:tcW w:w="1843" w:type="dxa"/>
            <w:shd w:val="clear" w:color="auto" w:fill="auto"/>
            <w:vAlign w:val="center"/>
          </w:tcPr>
          <w:p w:rsidR="005F2BBC" w:rsidRPr="00573206" w:rsidRDefault="005F2BBC" w:rsidP="005F2BBC">
            <w:pPr>
              <w:jc w:val="center"/>
            </w:pPr>
            <w:r w:rsidRPr="00573206">
              <w:t>Str. 104</w:t>
            </w:r>
          </w:p>
        </w:tc>
        <w:tc>
          <w:tcPr>
            <w:tcW w:w="4678" w:type="dxa"/>
            <w:shd w:val="clear" w:color="auto" w:fill="auto"/>
            <w:vAlign w:val="center"/>
          </w:tcPr>
          <w:p w:rsidR="005F2BBC" w:rsidRPr="00573206" w:rsidRDefault="005F2BBC" w:rsidP="005F2BBC">
            <w:r w:rsidRPr="00573206">
              <w:t xml:space="preserve">Jw. w pkt </w:t>
            </w:r>
            <w:r w:rsidR="00573206">
              <w:t>22</w:t>
            </w:r>
            <w:r w:rsidRPr="00573206">
              <w:t xml:space="preserve"> i </w:t>
            </w:r>
            <w:r w:rsidR="00573206">
              <w:t>23</w:t>
            </w:r>
          </w:p>
          <w:p w:rsidR="005F2BBC" w:rsidRPr="00573206" w:rsidRDefault="005F2BBC" w:rsidP="005F2BBC">
            <w:pPr>
              <w:pStyle w:val="Default"/>
              <w:rPr>
                <w:rFonts w:ascii="Times New Roman" w:hAnsi="Times New Roman" w:cs="Times New Roman"/>
              </w:rPr>
            </w:pPr>
          </w:p>
          <w:p w:rsidR="005F2BBC" w:rsidRPr="00573206" w:rsidRDefault="005F2BBC" w:rsidP="005F2BBC">
            <w:pPr>
              <w:pStyle w:val="Default"/>
              <w:rPr>
                <w:rFonts w:ascii="Times New Roman" w:hAnsi="Times New Roman" w:cs="Times New Roman"/>
                <w:i/>
              </w:rPr>
            </w:pPr>
            <w:r w:rsidRPr="00573206">
              <w:rPr>
                <w:rFonts w:ascii="Times New Roman" w:hAnsi="Times New Roman" w:cs="Times New Roman"/>
                <w:i/>
              </w:rPr>
              <w:t xml:space="preserve">„– rozwoju kompetencji kluczowych, społecznych i społeczno-emocjonalnych </w:t>
            </w:r>
            <w:r w:rsidRPr="00573206">
              <w:rPr>
                <w:rFonts w:ascii="Times New Roman" w:hAnsi="Times New Roman" w:cs="Times New Roman"/>
                <w:i/>
              </w:rPr>
              <w:lastRenderedPageBreak/>
              <w:t xml:space="preserve">dzieci, uczniów i </w:t>
            </w:r>
            <w:r w:rsidRPr="00573206">
              <w:rPr>
                <w:rFonts w:ascii="Times New Roman" w:hAnsi="Times New Roman" w:cs="Times New Roman"/>
                <w:i/>
                <w:u w:val="single"/>
              </w:rPr>
              <w:t>studentów</w:t>
            </w:r>
            <w:r w:rsidRPr="00573206">
              <w:rPr>
                <w:rFonts w:ascii="Times New Roman" w:hAnsi="Times New Roman" w:cs="Times New Roman"/>
                <w:i/>
              </w:rPr>
              <w:t>, w tym wsparcie psychologiczne i wyrównywanie deficytów powstałych w wyniku pandemii COVID-19;”</w:t>
            </w:r>
          </w:p>
          <w:p w:rsidR="005F2BBC" w:rsidRPr="00573206" w:rsidRDefault="005F2BBC" w:rsidP="005F2BBC"/>
        </w:tc>
        <w:tc>
          <w:tcPr>
            <w:tcW w:w="5812" w:type="dxa"/>
            <w:shd w:val="clear" w:color="auto" w:fill="auto"/>
            <w:vAlign w:val="center"/>
          </w:tcPr>
          <w:p w:rsidR="005F2BBC" w:rsidRPr="00573206" w:rsidRDefault="005F2BBC" w:rsidP="005F2BBC">
            <w:r w:rsidRPr="00573206">
              <w:lastRenderedPageBreak/>
              <w:t>Proponuje się uzupełnić zdanie w następujący sposób:</w:t>
            </w:r>
          </w:p>
          <w:p w:rsidR="005F2BBC" w:rsidRPr="00573206" w:rsidRDefault="005F2BBC" w:rsidP="005F2BBC">
            <w:pPr>
              <w:pStyle w:val="Default"/>
              <w:rPr>
                <w:rFonts w:ascii="Times New Roman" w:hAnsi="Times New Roman" w:cs="Times New Roman"/>
              </w:rPr>
            </w:pPr>
          </w:p>
          <w:p w:rsidR="005F2BBC" w:rsidRPr="00573206" w:rsidRDefault="005F2BBC" w:rsidP="005F2BBC">
            <w:pPr>
              <w:pStyle w:val="Default"/>
              <w:rPr>
                <w:rFonts w:ascii="Times New Roman" w:hAnsi="Times New Roman" w:cs="Times New Roman"/>
                <w:i/>
              </w:rPr>
            </w:pPr>
            <w:r w:rsidRPr="00573206">
              <w:rPr>
                <w:rFonts w:ascii="Times New Roman" w:hAnsi="Times New Roman" w:cs="Times New Roman"/>
                <w:i/>
              </w:rPr>
              <w:t>„– rozwoju kompetencji kluczowych, społecznych i społeczno-emocjonalnych dzieci, uczniów</w:t>
            </w:r>
            <w:r w:rsidRPr="00573206">
              <w:rPr>
                <w:rFonts w:ascii="Times New Roman" w:hAnsi="Times New Roman" w:cs="Times New Roman"/>
                <w:i/>
                <w:color w:val="FF0000"/>
              </w:rPr>
              <w:t>,</w:t>
            </w:r>
            <w:r w:rsidRPr="00573206">
              <w:rPr>
                <w:rFonts w:ascii="Times New Roman" w:hAnsi="Times New Roman" w:cs="Times New Roman"/>
                <w:i/>
                <w:strike/>
                <w:color w:val="FF0000"/>
              </w:rPr>
              <w:t xml:space="preserve"> i</w:t>
            </w:r>
            <w:r w:rsidRPr="00573206">
              <w:rPr>
                <w:rFonts w:ascii="Times New Roman" w:hAnsi="Times New Roman" w:cs="Times New Roman"/>
                <w:i/>
                <w:color w:val="FF0000"/>
              </w:rPr>
              <w:t xml:space="preserve"> </w:t>
            </w:r>
            <w:r w:rsidRPr="00573206">
              <w:rPr>
                <w:rFonts w:ascii="Times New Roman" w:hAnsi="Times New Roman" w:cs="Times New Roman"/>
                <w:i/>
              </w:rPr>
              <w:t>studentów</w:t>
            </w:r>
            <w:r w:rsidRPr="00573206">
              <w:rPr>
                <w:rFonts w:ascii="Times New Roman" w:hAnsi="Times New Roman" w:cs="Times New Roman"/>
                <w:i/>
                <w:color w:val="FF0000"/>
              </w:rPr>
              <w:t xml:space="preserve"> i </w:t>
            </w:r>
            <w:r w:rsidRPr="00573206">
              <w:rPr>
                <w:rFonts w:ascii="Times New Roman" w:hAnsi="Times New Roman" w:cs="Times New Roman"/>
                <w:i/>
                <w:color w:val="FF0000"/>
              </w:rPr>
              <w:lastRenderedPageBreak/>
              <w:t>doktorantów</w:t>
            </w:r>
            <w:r w:rsidRPr="00573206">
              <w:rPr>
                <w:rFonts w:ascii="Times New Roman" w:hAnsi="Times New Roman" w:cs="Times New Roman"/>
                <w:i/>
              </w:rPr>
              <w:t>, w tym wsparcie psychologiczne i wyrównywanie deficytów powstałych w wyniku pandemii COVID-19;”</w:t>
            </w:r>
          </w:p>
          <w:p w:rsidR="005F2BBC" w:rsidRPr="00573206" w:rsidRDefault="005F2BBC" w:rsidP="005F2BBC"/>
        </w:tc>
        <w:tc>
          <w:tcPr>
            <w:tcW w:w="1359" w:type="dxa"/>
          </w:tcPr>
          <w:p w:rsidR="005F2BBC" w:rsidRPr="00573206" w:rsidRDefault="005F2BBC" w:rsidP="005F2BBC">
            <w:pPr>
              <w:jc w:val="center"/>
            </w:pPr>
          </w:p>
        </w:tc>
      </w:tr>
      <w:tr w:rsidR="005F2BBC" w:rsidRPr="00573206" w:rsidTr="00B6178A">
        <w:tc>
          <w:tcPr>
            <w:tcW w:w="562" w:type="dxa"/>
            <w:shd w:val="clear" w:color="auto" w:fill="auto"/>
          </w:tcPr>
          <w:p w:rsidR="005F2BBC" w:rsidRPr="00573206" w:rsidRDefault="005F2BBC" w:rsidP="005F2BBC">
            <w:pPr>
              <w:rPr>
                <w:rFonts w:eastAsia="Calibri"/>
                <w:b/>
              </w:rPr>
            </w:pPr>
            <w:r w:rsidRPr="00573206">
              <w:rPr>
                <w:rFonts w:eastAsia="Calibri"/>
                <w:b/>
              </w:rPr>
              <w:t>2</w:t>
            </w:r>
            <w:r w:rsidR="00573206">
              <w:rPr>
                <w:rFonts w:eastAsia="Calibri"/>
                <w:b/>
              </w:rPr>
              <w:t>7</w:t>
            </w:r>
            <w:bookmarkStart w:id="0" w:name="_GoBack"/>
            <w:bookmarkEnd w:id="0"/>
          </w:p>
        </w:tc>
        <w:tc>
          <w:tcPr>
            <w:tcW w:w="1134" w:type="dxa"/>
            <w:shd w:val="clear" w:color="auto" w:fill="auto"/>
            <w:vAlign w:val="center"/>
          </w:tcPr>
          <w:p w:rsidR="005F2BBC" w:rsidRPr="00573206" w:rsidRDefault="00573206" w:rsidP="005F2BBC">
            <w:pPr>
              <w:spacing w:before="60" w:after="60"/>
              <w:jc w:val="center"/>
            </w:pPr>
            <w:r>
              <w:rPr>
                <w:b/>
              </w:rPr>
              <w:t>MEiN</w:t>
            </w:r>
          </w:p>
        </w:tc>
        <w:tc>
          <w:tcPr>
            <w:tcW w:w="1843" w:type="dxa"/>
            <w:shd w:val="clear" w:color="auto" w:fill="auto"/>
            <w:vAlign w:val="center"/>
          </w:tcPr>
          <w:p w:rsidR="005F2BBC" w:rsidRPr="00573206" w:rsidRDefault="005F2BBC" w:rsidP="005F2BBC">
            <w:pPr>
              <w:jc w:val="center"/>
            </w:pPr>
            <w:r w:rsidRPr="00573206">
              <w:t>Str. 218</w:t>
            </w:r>
          </w:p>
        </w:tc>
        <w:tc>
          <w:tcPr>
            <w:tcW w:w="4678" w:type="dxa"/>
            <w:shd w:val="clear" w:color="auto" w:fill="auto"/>
            <w:vAlign w:val="center"/>
          </w:tcPr>
          <w:p w:rsidR="005F2BBC" w:rsidRPr="00573206" w:rsidRDefault="005F2BBC" w:rsidP="005F2BBC">
            <w:r w:rsidRPr="00573206">
              <w:t>Nieaktualny publikator ustawy (jest tekst jednolity):</w:t>
            </w:r>
          </w:p>
          <w:p w:rsidR="005F2BBC" w:rsidRPr="00573206" w:rsidRDefault="005F2BBC" w:rsidP="005F2BBC">
            <w:r w:rsidRPr="00573206">
              <w:rPr>
                <w:i/>
              </w:rPr>
              <w:t>„– ustawą z dnia 20 lipca 2018 r. Prawo o szkolnictwie wyższym i nauce (Dz. U. z 2020 r. poz. 85, 374, 695, 875 i 1086);”</w:t>
            </w:r>
          </w:p>
        </w:tc>
        <w:tc>
          <w:tcPr>
            <w:tcW w:w="5812" w:type="dxa"/>
            <w:shd w:val="clear" w:color="auto" w:fill="auto"/>
            <w:vAlign w:val="center"/>
          </w:tcPr>
          <w:p w:rsidR="005F2BBC" w:rsidRPr="00573206" w:rsidRDefault="005F2BBC" w:rsidP="005F2BBC"/>
          <w:p w:rsidR="005F2BBC" w:rsidRPr="00573206" w:rsidRDefault="005F2BBC" w:rsidP="005F2BBC">
            <w:r w:rsidRPr="00573206">
              <w:t>Wymaga uaktualnienia.</w:t>
            </w:r>
          </w:p>
        </w:tc>
        <w:tc>
          <w:tcPr>
            <w:tcW w:w="1359" w:type="dxa"/>
          </w:tcPr>
          <w:p w:rsidR="005F2BBC" w:rsidRPr="00573206" w:rsidRDefault="005F2BBC" w:rsidP="005F2BBC">
            <w:pPr>
              <w:jc w:val="center"/>
            </w:pPr>
          </w:p>
        </w:tc>
      </w:tr>
    </w:tbl>
    <w:p w:rsidR="00C64B1B" w:rsidRPr="00573206" w:rsidRDefault="00C64B1B" w:rsidP="00C64B1B">
      <w:pPr>
        <w:jc w:val="center"/>
      </w:pPr>
    </w:p>
    <w:sectPr w:rsidR="00C64B1B" w:rsidRPr="00573206" w:rsidSect="00A06425">
      <w:pgSz w:w="16838" w:h="11906" w:orient="landscape"/>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3126" w:rsidRDefault="00BF3126" w:rsidP="00BC7B46">
      <w:r>
        <w:separator/>
      </w:r>
    </w:p>
  </w:endnote>
  <w:endnote w:type="continuationSeparator" w:id="0">
    <w:p w:rsidR="00BF3126" w:rsidRDefault="00BF3126" w:rsidP="00BC7B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3126" w:rsidRDefault="00BF3126" w:rsidP="00BC7B46">
      <w:r>
        <w:separator/>
      </w:r>
    </w:p>
  </w:footnote>
  <w:footnote w:type="continuationSeparator" w:id="0">
    <w:p w:rsidR="00BF3126" w:rsidRDefault="00BF3126" w:rsidP="00BC7B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D858C5"/>
    <w:multiLevelType w:val="hybridMultilevel"/>
    <w:tmpl w:val="A4746F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50AF1F69"/>
    <w:multiLevelType w:val="hybridMultilevel"/>
    <w:tmpl w:val="07963E56"/>
    <w:lvl w:ilvl="0" w:tplc="EF0A1A6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58CE0D0E"/>
    <w:multiLevelType w:val="hybridMultilevel"/>
    <w:tmpl w:val="DECE12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6B252C8C"/>
    <w:multiLevelType w:val="hybridMultilevel"/>
    <w:tmpl w:val="718C76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4B1B"/>
    <w:rsid w:val="00012F03"/>
    <w:rsid w:val="00034258"/>
    <w:rsid w:val="000C474A"/>
    <w:rsid w:val="000D09FF"/>
    <w:rsid w:val="000E246A"/>
    <w:rsid w:val="001078A2"/>
    <w:rsid w:val="0012465A"/>
    <w:rsid w:val="00140BE8"/>
    <w:rsid w:val="00152B69"/>
    <w:rsid w:val="0019648E"/>
    <w:rsid w:val="001B228B"/>
    <w:rsid w:val="001D3696"/>
    <w:rsid w:val="00206465"/>
    <w:rsid w:val="00206E33"/>
    <w:rsid w:val="002349E7"/>
    <w:rsid w:val="002715B2"/>
    <w:rsid w:val="00292BDB"/>
    <w:rsid w:val="002A7B7E"/>
    <w:rsid w:val="002D2A35"/>
    <w:rsid w:val="0030062C"/>
    <w:rsid w:val="003124D1"/>
    <w:rsid w:val="00321CFB"/>
    <w:rsid w:val="003447A2"/>
    <w:rsid w:val="003B0E9B"/>
    <w:rsid w:val="003B4105"/>
    <w:rsid w:val="0044417C"/>
    <w:rsid w:val="004B0196"/>
    <w:rsid w:val="004D086F"/>
    <w:rsid w:val="004D1F99"/>
    <w:rsid w:val="004E4C4C"/>
    <w:rsid w:val="00501321"/>
    <w:rsid w:val="00573206"/>
    <w:rsid w:val="005742FD"/>
    <w:rsid w:val="005F1B00"/>
    <w:rsid w:val="005F2BBC"/>
    <w:rsid w:val="005F6527"/>
    <w:rsid w:val="005F7189"/>
    <w:rsid w:val="006239A3"/>
    <w:rsid w:val="006705EC"/>
    <w:rsid w:val="0069776C"/>
    <w:rsid w:val="006C6894"/>
    <w:rsid w:val="006E16E9"/>
    <w:rsid w:val="00710A8A"/>
    <w:rsid w:val="00717176"/>
    <w:rsid w:val="00732A41"/>
    <w:rsid w:val="007B674D"/>
    <w:rsid w:val="007D688E"/>
    <w:rsid w:val="00807385"/>
    <w:rsid w:val="00823264"/>
    <w:rsid w:val="00833C3E"/>
    <w:rsid w:val="00833DBA"/>
    <w:rsid w:val="0087479F"/>
    <w:rsid w:val="008B500E"/>
    <w:rsid w:val="00944932"/>
    <w:rsid w:val="009E5FDB"/>
    <w:rsid w:val="00A06425"/>
    <w:rsid w:val="00A24AA0"/>
    <w:rsid w:val="00A810D6"/>
    <w:rsid w:val="00AC7796"/>
    <w:rsid w:val="00B14E79"/>
    <w:rsid w:val="00B729DE"/>
    <w:rsid w:val="00B76C95"/>
    <w:rsid w:val="00B803C1"/>
    <w:rsid w:val="00B871B6"/>
    <w:rsid w:val="00BC7B46"/>
    <w:rsid w:val="00BF3126"/>
    <w:rsid w:val="00C64B1B"/>
    <w:rsid w:val="00C76151"/>
    <w:rsid w:val="00C84474"/>
    <w:rsid w:val="00C902BE"/>
    <w:rsid w:val="00CD5EB0"/>
    <w:rsid w:val="00CE030C"/>
    <w:rsid w:val="00CE200B"/>
    <w:rsid w:val="00D00D6B"/>
    <w:rsid w:val="00D23A21"/>
    <w:rsid w:val="00D26DE7"/>
    <w:rsid w:val="00D40D11"/>
    <w:rsid w:val="00D6341C"/>
    <w:rsid w:val="00D6514F"/>
    <w:rsid w:val="00D821BB"/>
    <w:rsid w:val="00DF470B"/>
    <w:rsid w:val="00E065D2"/>
    <w:rsid w:val="00E14C33"/>
    <w:rsid w:val="00E84C35"/>
    <w:rsid w:val="00EA28ED"/>
    <w:rsid w:val="00FB28D9"/>
    <w:rsid w:val="00FE0757"/>
    <w:rsid w:val="00FF3FA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E31B995"/>
  <w15:chartTrackingRefBased/>
  <w15:docId w15:val="{2379E184-FF6E-46FA-BB13-F6EF6AC0F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C64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A06425"/>
    <w:rPr>
      <w:rFonts w:ascii="Segoe UI" w:hAnsi="Segoe UI" w:cs="Segoe UI"/>
      <w:sz w:val="18"/>
      <w:szCs w:val="18"/>
    </w:rPr>
  </w:style>
  <w:style w:type="character" w:customStyle="1" w:styleId="TekstdymkaZnak">
    <w:name w:val="Tekst dymka Znak"/>
    <w:basedOn w:val="Domylnaczcionkaakapitu"/>
    <w:link w:val="Tekstdymka"/>
    <w:rsid w:val="00A06425"/>
    <w:rPr>
      <w:rFonts w:ascii="Segoe UI" w:hAnsi="Segoe UI" w:cs="Segoe UI"/>
      <w:sz w:val="18"/>
      <w:szCs w:val="18"/>
    </w:rPr>
  </w:style>
  <w:style w:type="paragraph" w:styleId="Tekstprzypisukocowego">
    <w:name w:val="endnote text"/>
    <w:basedOn w:val="Normalny"/>
    <w:link w:val="TekstprzypisukocowegoZnak"/>
    <w:rsid w:val="00BC7B46"/>
    <w:rPr>
      <w:sz w:val="20"/>
      <w:szCs w:val="20"/>
    </w:rPr>
  </w:style>
  <w:style w:type="character" w:customStyle="1" w:styleId="TekstprzypisukocowegoZnak">
    <w:name w:val="Tekst przypisu końcowego Znak"/>
    <w:basedOn w:val="Domylnaczcionkaakapitu"/>
    <w:link w:val="Tekstprzypisukocowego"/>
    <w:rsid w:val="00BC7B46"/>
  </w:style>
  <w:style w:type="character" w:styleId="Odwoanieprzypisukocowego">
    <w:name w:val="endnote reference"/>
    <w:basedOn w:val="Domylnaczcionkaakapitu"/>
    <w:rsid w:val="00BC7B46"/>
    <w:rPr>
      <w:vertAlign w:val="superscript"/>
    </w:rPr>
  </w:style>
  <w:style w:type="paragraph" w:styleId="Akapitzlist">
    <w:name w:val="List Paragraph"/>
    <w:basedOn w:val="Normalny"/>
    <w:uiPriority w:val="34"/>
    <w:qFormat/>
    <w:rsid w:val="003447A2"/>
    <w:pPr>
      <w:ind w:left="720"/>
      <w:contextualSpacing/>
    </w:pPr>
  </w:style>
  <w:style w:type="paragraph" w:customStyle="1" w:styleId="Default">
    <w:name w:val="Default"/>
    <w:rsid w:val="004E4C4C"/>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4704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104</TotalTime>
  <Pages>11</Pages>
  <Words>3165</Words>
  <Characters>18995</Characters>
  <Application>Microsoft Office Word</Application>
  <DocSecurity>0</DocSecurity>
  <Lines>158</Lines>
  <Paragraphs>44</Paragraphs>
  <ScaleCrop>false</ScaleCrop>
  <HeadingPairs>
    <vt:vector size="2" baseType="variant">
      <vt:variant>
        <vt:lpstr>Tytuł</vt:lpstr>
      </vt:variant>
      <vt:variant>
        <vt:i4>1</vt:i4>
      </vt:variant>
    </vt:vector>
  </HeadingPairs>
  <TitlesOfParts>
    <vt:vector size="1" baseType="lpstr">
      <vt:lpstr/>
    </vt:vector>
  </TitlesOfParts>
  <Company>MSWIA</Company>
  <LinksUpToDate>false</LinksUpToDate>
  <CharactersWithSpaces>22116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BAF</dc:creator>
  <cp:keywords/>
  <cp:lastModifiedBy>Wasilewska Agnieszka</cp:lastModifiedBy>
  <cp:revision>34</cp:revision>
  <dcterms:created xsi:type="dcterms:W3CDTF">2021-09-23T13:16:00Z</dcterms:created>
  <dcterms:modified xsi:type="dcterms:W3CDTF">2021-09-29T07:44:00Z</dcterms:modified>
</cp:coreProperties>
</file>